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bookmarkStart w:id="0" w:name="_heading=h.gjdgxs" w:colFirst="0" w:colLast="0"/>
      <w:bookmarkEnd w:id="0"/>
    </w:p>
    <w:p w14:paraId="00000002" w14:textId="77777777" w:rsidR="009F1887" w:rsidRDefault="00790D5B">
      <w:pPr>
        <w:keepNext/>
        <w:keepLines/>
        <w:pBdr>
          <w:top w:val="nil"/>
          <w:left w:val="nil"/>
          <w:bottom w:val="nil"/>
          <w:right w:val="nil"/>
          <w:between w:val="nil"/>
        </w:pBdr>
        <w:spacing w:after="240" w:line="240" w:lineRule="auto"/>
        <w:jc w:val="center"/>
        <w:rPr>
          <w:rFonts w:ascii="Times" w:eastAsia="Times" w:hAnsi="Times" w:cs="Times"/>
          <w:b/>
          <w:smallCaps/>
          <w:color w:val="000000"/>
          <w:sz w:val="40"/>
          <w:szCs w:val="40"/>
        </w:rPr>
      </w:pPr>
      <w:r>
        <w:rPr>
          <w:rFonts w:ascii="Times" w:eastAsia="Times" w:hAnsi="Times" w:cs="Times"/>
          <w:b/>
          <w:smallCaps/>
          <w:color w:val="000000"/>
          <w:sz w:val="40"/>
          <w:szCs w:val="40"/>
        </w:rPr>
        <w:t>GEORGIA</w:t>
      </w:r>
    </w:p>
    <w:p w14:paraId="00000003"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4" w14:textId="77777777" w:rsidR="009F1887" w:rsidRDefault="00790D5B">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r>
        <w:rPr>
          <w:rFonts w:ascii="Times" w:eastAsia="Times" w:hAnsi="Times" w:cs="Times"/>
          <w:b/>
          <w:smallCaps/>
          <w:color w:val="000000"/>
          <w:sz w:val="28"/>
          <w:szCs w:val="28"/>
        </w:rPr>
        <w:t>EMERGENCY COVID-19 RESPONSE PROJECT</w:t>
      </w:r>
    </w:p>
    <w:p w14:paraId="00000005"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6"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7"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8" w14:textId="77777777" w:rsidR="009F1887" w:rsidRDefault="00790D5B">
      <w:pPr>
        <w:keepNext/>
        <w:keepLines/>
        <w:pBdr>
          <w:top w:val="nil"/>
          <w:left w:val="nil"/>
          <w:bottom w:val="nil"/>
          <w:right w:val="nil"/>
          <w:between w:val="nil"/>
        </w:pBdr>
        <w:spacing w:after="240" w:line="240" w:lineRule="auto"/>
        <w:jc w:val="center"/>
        <w:rPr>
          <w:rFonts w:ascii="Times" w:eastAsia="Times" w:hAnsi="Times" w:cs="Times"/>
          <w:b/>
          <w:smallCaps/>
          <w:color w:val="000000"/>
          <w:sz w:val="40"/>
          <w:szCs w:val="40"/>
        </w:rPr>
      </w:pPr>
      <w:r>
        <w:rPr>
          <w:rFonts w:ascii="Times" w:eastAsia="Times" w:hAnsi="Times" w:cs="Times"/>
          <w:b/>
          <w:smallCaps/>
          <w:color w:val="000000"/>
          <w:sz w:val="40"/>
          <w:szCs w:val="40"/>
        </w:rPr>
        <w:t>ENVIRONMENTAL AND SOCIAL MANAGEMENT FRAMEWORK</w:t>
      </w:r>
    </w:p>
    <w:p w14:paraId="00000009"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A"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B"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C"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D"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E"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0F"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10"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11"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12"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13"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14"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15" w14:textId="77777777" w:rsidR="009F1887" w:rsidRDefault="00790D5B">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r>
        <w:rPr>
          <w:rFonts w:ascii="Times" w:eastAsia="Times" w:hAnsi="Times" w:cs="Times"/>
          <w:b/>
          <w:smallCaps/>
          <w:color w:val="000000"/>
          <w:sz w:val="28"/>
          <w:szCs w:val="28"/>
        </w:rPr>
        <w:t>Tbilisi</w:t>
      </w:r>
    </w:p>
    <w:p w14:paraId="00000016" w14:textId="77777777" w:rsidR="009F1887" w:rsidRDefault="00790D5B">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sectPr w:rsidR="009F188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270" w:footer="720" w:gutter="0"/>
          <w:pgNumType w:start="1"/>
          <w:cols w:space="720" w:equalWidth="0">
            <w:col w:w="9360"/>
          </w:cols>
        </w:sectPr>
      </w:pPr>
      <w:r>
        <w:rPr>
          <w:rFonts w:ascii="Times" w:eastAsia="Times" w:hAnsi="Times" w:cs="Times"/>
          <w:b/>
          <w:smallCaps/>
          <w:color w:val="000000"/>
          <w:sz w:val="28"/>
          <w:szCs w:val="28"/>
        </w:rPr>
        <w:t>July 2020</w:t>
      </w:r>
    </w:p>
    <w:sdt>
      <w:sdtPr>
        <w:tag w:val="goog_rdk_1"/>
        <w:id w:val="-1641869962"/>
      </w:sdtPr>
      <w:sdtContent>
        <w:p w14:paraId="00000017" w14:textId="77777777" w:rsidR="009F1887" w:rsidRDefault="00790D5B">
          <w:pPr>
            <w:keepNext/>
            <w:keepLines/>
            <w:pBdr>
              <w:top w:val="nil"/>
              <w:left w:val="nil"/>
              <w:bottom w:val="nil"/>
              <w:right w:val="nil"/>
              <w:between w:val="nil"/>
            </w:pBdr>
            <w:spacing w:before="360" w:after="120" w:line="259" w:lineRule="auto"/>
            <w:jc w:val="center"/>
            <w:rPr>
              <w:ins w:id="1" w:author="Author" w:date="2020-07-15T05:14:00Z"/>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TABLE OF CONTENTS</w:t>
          </w:r>
          <w:sdt>
            <w:sdtPr>
              <w:tag w:val="goog_rdk_0"/>
              <w:id w:val="-1559161288"/>
            </w:sdtPr>
            <w:sdtContent/>
          </w:sdt>
        </w:p>
      </w:sdtContent>
    </w:sdt>
    <w:p w14:paraId="00000018" w14:textId="77777777" w:rsidR="009F1887" w:rsidRDefault="009F1887">
      <w:pPr>
        <w:keepNext/>
        <w:keepLines/>
        <w:pBdr>
          <w:top w:val="nil"/>
          <w:left w:val="nil"/>
          <w:bottom w:val="nil"/>
          <w:right w:val="nil"/>
          <w:between w:val="nil"/>
        </w:pBdr>
        <w:spacing w:before="360" w:after="120" w:line="259" w:lineRule="auto"/>
        <w:rPr>
          <w:rFonts w:ascii="Times New Roman" w:eastAsia="Times New Roman" w:hAnsi="Times New Roman" w:cs="Times New Roman"/>
          <w:b/>
          <w:color w:val="000000"/>
          <w:sz w:val="28"/>
          <w:szCs w:val="28"/>
        </w:rPr>
      </w:pPr>
    </w:p>
    <w:sdt>
      <w:sdtPr>
        <w:id w:val="-1212261508"/>
        <w:docPartObj>
          <w:docPartGallery w:val="Table of Contents"/>
          <w:docPartUnique/>
        </w:docPartObj>
      </w:sdtPr>
      <w:sdtContent>
        <w:p w14:paraId="00000019" w14:textId="77777777" w:rsidR="009F1887" w:rsidRDefault="00790D5B">
          <w:pPr>
            <w:pBdr>
              <w:top w:val="nil"/>
              <w:left w:val="nil"/>
              <w:bottom w:val="nil"/>
              <w:right w:val="nil"/>
              <w:between w:val="nil"/>
            </w:pBdr>
            <w:tabs>
              <w:tab w:val="left" w:pos="660"/>
              <w:tab w:val="right" w:pos="9350"/>
            </w:tabs>
            <w:spacing w:after="100"/>
            <w:ind w:left="220"/>
            <w:rPr>
              <w:color w:val="000000"/>
            </w:rPr>
          </w:pPr>
          <w:r>
            <w:fldChar w:fldCharType="begin"/>
          </w:r>
          <w:r>
            <w:instrText xml:space="preserve"> TOC \h \u \z </w:instrText>
          </w:r>
          <w:r>
            <w:fldChar w:fldCharType="separate"/>
          </w:r>
          <w:hyperlink w:anchor="_heading=h.30j0zll">
            <w:r>
              <w:rPr>
                <w:color w:val="000000"/>
              </w:rPr>
              <w:t>1.</w:t>
            </w:r>
            <w:r>
              <w:rPr>
                <w:color w:val="000000"/>
              </w:rPr>
              <w:tab/>
              <w:t>Introduction and Background</w:t>
            </w:r>
            <w:r>
              <w:rPr>
                <w:color w:val="000000"/>
              </w:rPr>
              <w:tab/>
              <w:t>5</w:t>
            </w:r>
          </w:hyperlink>
        </w:p>
        <w:p w14:paraId="0000001A"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1fob9te">
            <w:r w:rsidR="00790D5B">
              <w:rPr>
                <w:color w:val="000000"/>
              </w:rPr>
              <w:t>2.</w:t>
            </w:r>
            <w:r w:rsidR="00790D5B">
              <w:rPr>
                <w:color w:val="000000"/>
              </w:rPr>
              <w:tab/>
              <w:t>Project Description</w:t>
            </w:r>
            <w:r w:rsidR="00790D5B">
              <w:rPr>
                <w:color w:val="000000"/>
              </w:rPr>
              <w:tab/>
              <w:t>6</w:t>
            </w:r>
          </w:hyperlink>
        </w:p>
        <w:p w14:paraId="0000001B"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3znysh7">
            <w:r w:rsidR="00790D5B">
              <w:rPr>
                <w:color w:val="000000"/>
              </w:rPr>
              <w:t>3.</w:t>
            </w:r>
            <w:r w:rsidR="00790D5B">
              <w:rPr>
                <w:color w:val="000000"/>
              </w:rPr>
              <w:tab/>
              <w:t>Environmental and Social Risks of the Project</w:t>
            </w:r>
            <w:r w:rsidR="00790D5B">
              <w:rPr>
                <w:color w:val="000000"/>
              </w:rPr>
              <w:tab/>
              <w:t>8</w:t>
            </w:r>
          </w:hyperlink>
        </w:p>
        <w:p w14:paraId="0000001C"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2et92p0">
            <w:r w:rsidR="00790D5B">
              <w:rPr>
                <w:color w:val="000000"/>
              </w:rPr>
              <w:t>3.1.</w:t>
            </w:r>
            <w:r w:rsidR="00790D5B">
              <w:rPr>
                <w:color w:val="000000"/>
              </w:rPr>
              <w:tab/>
              <w:t>Environmental and Social Risks of Subprojects</w:t>
            </w:r>
            <w:r w:rsidR="00790D5B">
              <w:rPr>
                <w:color w:val="000000"/>
              </w:rPr>
              <w:tab/>
              <w:t>9</w:t>
            </w:r>
          </w:hyperlink>
        </w:p>
        <w:p w14:paraId="0000001D"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tyjcwt">
            <w:r w:rsidR="00790D5B">
              <w:rPr>
                <w:color w:val="000000"/>
              </w:rPr>
              <w:t>3.2.</w:t>
            </w:r>
            <w:r w:rsidR="00790D5B">
              <w:rPr>
                <w:color w:val="000000"/>
              </w:rPr>
              <w:tab/>
              <w:t>Project Beneficiaries</w:t>
            </w:r>
            <w:r w:rsidR="00790D5B">
              <w:rPr>
                <w:color w:val="000000"/>
              </w:rPr>
              <w:tab/>
              <w:t>10</w:t>
            </w:r>
          </w:hyperlink>
        </w:p>
        <w:p w14:paraId="0000001E"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3dy6vkm">
            <w:r w:rsidR="00790D5B">
              <w:rPr>
                <w:color w:val="000000"/>
              </w:rPr>
              <w:t>4.</w:t>
            </w:r>
            <w:r w:rsidR="00790D5B">
              <w:rPr>
                <w:color w:val="000000"/>
              </w:rPr>
              <w:tab/>
              <w:t>Policy, Legal and Regulatory Framework</w:t>
            </w:r>
            <w:r w:rsidR="00790D5B">
              <w:rPr>
                <w:color w:val="000000"/>
              </w:rPr>
              <w:tab/>
              <w:t>10</w:t>
            </w:r>
          </w:hyperlink>
        </w:p>
        <w:p w14:paraId="0000001F"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1t3h5sf">
            <w:r w:rsidR="00790D5B">
              <w:rPr>
                <w:color w:val="000000"/>
              </w:rPr>
              <w:t>4.1.</w:t>
            </w:r>
            <w:r w:rsidR="00790D5B">
              <w:rPr>
                <w:color w:val="000000"/>
              </w:rPr>
              <w:tab/>
              <w:t>Overview of National Environmental Legislation Relevant for the Project</w:t>
            </w:r>
            <w:r w:rsidR="00790D5B">
              <w:rPr>
                <w:color w:val="000000"/>
              </w:rPr>
              <w:tab/>
              <w:t>10</w:t>
            </w:r>
          </w:hyperlink>
        </w:p>
        <w:p w14:paraId="00000020"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4d34og8">
            <w:r w:rsidR="00790D5B">
              <w:rPr>
                <w:color w:val="000000"/>
              </w:rPr>
              <w:t>4.2.</w:t>
            </w:r>
            <w:r w:rsidR="00790D5B">
              <w:rPr>
                <w:color w:val="000000"/>
              </w:rPr>
              <w:tab/>
              <w:t>Institutional Framework for Environmental Management</w:t>
            </w:r>
            <w:r w:rsidR="00790D5B">
              <w:rPr>
                <w:color w:val="000000"/>
              </w:rPr>
              <w:tab/>
              <w:t>13</w:t>
            </w:r>
          </w:hyperlink>
        </w:p>
        <w:p w14:paraId="00000021"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2s8eyo1">
            <w:r w:rsidR="00790D5B">
              <w:rPr>
                <w:color w:val="000000"/>
              </w:rPr>
              <w:t>4.3.</w:t>
            </w:r>
            <w:r w:rsidR="00790D5B">
              <w:rPr>
                <w:color w:val="000000"/>
              </w:rPr>
              <w:tab/>
              <w:t>Overview of National Social, Property and Labor Legislation Relevant for the Project</w:t>
            </w:r>
            <w:r w:rsidR="00790D5B">
              <w:rPr>
                <w:color w:val="000000"/>
              </w:rPr>
              <w:tab/>
              <w:t>14</w:t>
            </w:r>
          </w:hyperlink>
        </w:p>
        <w:p w14:paraId="00000022"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3rdcrjn">
            <w:r w:rsidR="00790D5B">
              <w:rPr>
                <w:color w:val="000000"/>
              </w:rPr>
              <w:t>4.4.</w:t>
            </w:r>
            <w:r w:rsidR="00790D5B">
              <w:rPr>
                <w:color w:val="000000"/>
              </w:rPr>
              <w:tab/>
              <w:t>Institutional Framework for Regulating Social Welfare, Property Rights and Labor Safety</w:t>
            </w:r>
            <w:r w:rsidR="00790D5B">
              <w:rPr>
                <w:color w:val="000000"/>
              </w:rPr>
              <w:tab/>
              <w:t>17</w:t>
            </w:r>
          </w:hyperlink>
        </w:p>
        <w:p w14:paraId="00000023"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26in1rg">
            <w:r w:rsidR="00790D5B">
              <w:rPr>
                <w:color w:val="000000"/>
              </w:rPr>
              <w:t>5.</w:t>
            </w:r>
            <w:r w:rsidR="00790D5B">
              <w:rPr>
                <w:color w:val="000000"/>
              </w:rPr>
              <w:tab/>
              <w:t>Environmental and Social Baseline</w:t>
            </w:r>
            <w:r w:rsidR="00790D5B">
              <w:rPr>
                <w:color w:val="000000"/>
              </w:rPr>
              <w:tab/>
              <w:t>23</w:t>
            </w:r>
          </w:hyperlink>
        </w:p>
        <w:p w14:paraId="00000024"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lnxbz9">
            <w:r w:rsidR="00790D5B">
              <w:rPr>
                <w:color w:val="000000"/>
              </w:rPr>
              <w:t>5.1.</w:t>
            </w:r>
            <w:r w:rsidR="00790D5B">
              <w:rPr>
                <w:color w:val="000000"/>
              </w:rPr>
              <w:tab/>
              <w:t>Environmental Characteristics</w:t>
            </w:r>
            <w:r w:rsidR="00790D5B">
              <w:rPr>
                <w:color w:val="000000"/>
              </w:rPr>
              <w:tab/>
              <w:t>23</w:t>
            </w:r>
          </w:hyperlink>
        </w:p>
        <w:p w14:paraId="00000025"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35nkun2">
            <w:r w:rsidR="00790D5B">
              <w:rPr>
                <w:color w:val="000000"/>
              </w:rPr>
              <w:t>5.2.</w:t>
            </w:r>
            <w:r w:rsidR="00790D5B">
              <w:rPr>
                <w:color w:val="000000"/>
              </w:rPr>
              <w:tab/>
              <w:t>Socio-Economic Characteristics</w:t>
            </w:r>
            <w:r w:rsidR="00790D5B">
              <w:rPr>
                <w:color w:val="000000"/>
              </w:rPr>
              <w:tab/>
              <w:t>29</w:t>
            </w:r>
          </w:hyperlink>
        </w:p>
        <w:p w14:paraId="00000026"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1ksv4uv">
            <w:r w:rsidR="00790D5B">
              <w:rPr>
                <w:color w:val="000000"/>
              </w:rPr>
              <w:t>6.</w:t>
            </w:r>
            <w:r w:rsidR="00790D5B">
              <w:rPr>
                <w:color w:val="000000"/>
              </w:rPr>
              <w:tab/>
              <w:t>Potential Environmental and Social Risks and Their Mitigation</w:t>
            </w:r>
            <w:r w:rsidR="00790D5B">
              <w:rPr>
                <w:color w:val="000000"/>
              </w:rPr>
              <w:tab/>
              <w:t>32</w:t>
            </w:r>
          </w:hyperlink>
        </w:p>
        <w:p w14:paraId="00000027"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44sinio">
            <w:r w:rsidR="00790D5B">
              <w:rPr>
                <w:color w:val="000000"/>
              </w:rPr>
              <w:t>6.1.</w:t>
            </w:r>
            <w:r w:rsidR="00790D5B">
              <w:rPr>
                <w:color w:val="000000"/>
              </w:rPr>
              <w:tab/>
              <w:t>Overview of Risks and Mitigation Measures</w:t>
            </w:r>
            <w:r w:rsidR="00790D5B">
              <w:rPr>
                <w:color w:val="000000"/>
              </w:rPr>
              <w:tab/>
              <w:t>32</w:t>
            </w:r>
          </w:hyperlink>
        </w:p>
        <w:p w14:paraId="00000028"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3j2qqm3">
            <w:r w:rsidR="00790D5B">
              <w:rPr>
                <w:color w:val="000000"/>
              </w:rPr>
              <w:t>6.2.</w:t>
            </w:r>
            <w:r w:rsidR="00790D5B">
              <w:rPr>
                <w:color w:val="000000"/>
              </w:rPr>
              <w:tab/>
              <w:t>Risk Mitigation at Planning at the Design Stage</w:t>
            </w:r>
            <w:r w:rsidR="00790D5B">
              <w:rPr>
                <w:color w:val="000000"/>
              </w:rPr>
              <w:tab/>
              <w:t>35</w:t>
            </w:r>
          </w:hyperlink>
        </w:p>
        <w:p w14:paraId="00000029"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1y810tw">
            <w:r w:rsidR="00790D5B">
              <w:rPr>
                <w:color w:val="000000"/>
              </w:rPr>
              <w:t>6.3.</w:t>
            </w:r>
            <w:r w:rsidR="00790D5B">
              <w:rPr>
                <w:color w:val="000000"/>
              </w:rPr>
              <w:tab/>
              <w:t>Risk Mitigation at Construction Stage</w:t>
            </w:r>
            <w:r w:rsidR="00790D5B">
              <w:rPr>
                <w:color w:val="000000"/>
              </w:rPr>
              <w:tab/>
              <w:t>37</w:t>
            </w:r>
          </w:hyperlink>
        </w:p>
        <w:p w14:paraId="0000002A"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4i7ojhp">
            <w:r w:rsidR="00790D5B">
              <w:rPr>
                <w:color w:val="000000"/>
              </w:rPr>
              <w:t>6.4.</w:t>
            </w:r>
            <w:r w:rsidR="00790D5B">
              <w:rPr>
                <w:color w:val="000000"/>
              </w:rPr>
              <w:tab/>
              <w:t>Risk Mitigation at Operational Stage</w:t>
            </w:r>
            <w:r w:rsidR="00790D5B">
              <w:rPr>
                <w:color w:val="000000"/>
              </w:rPr>
              <w:tab/>
              <w:t>37</w:t>
            </w:r>
          </w:hyperlink>
        </w:p>
        <w:p w14:paraId="0000002B"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2xcytpi">
            <w:r w:rsidR="00790D5B">
              <w:rPr>
                <w:color w:val="000000"/>
              </w:rPr>
              <w:t>6.5.</w:t>
            </w:r>
            <w:r w:rsidR="00790D5B">
              <w:rPr>
                <w:color w:val="000000"/>
              </w:rPr>
              <w:tab/>
              <w:t>Risk Mitigation at Decommissioning Stage</w:t>
            </w:r>
            <w:r w:rsidR="00790D5B">
              <w:rPr>
                <w:color w:val="000000"/>
              </w:rPr>
              <w:tab/>
              <w:t>38</w:t>
            </w:r>
          </w:hyperlink>
        </w:p>
        <w:p w14:paraId="0000002C"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1ci93xb">
            <w:r w:rsidR="00790D5B">
              <w:rPr>
                <w:color w:val="000000"/>
              </w:rPr>
              <w:t>6.6.</w:t>
            </w:r>
            <w:r w:rsidR="00790D5B">
              <w:rPr>
                <w:color w:val="000000"/>
              </w:rPr>
              <w:tab/>
              <w:t>Procedures to Address Environmental and Social Issues</w:t>
            </w:r>
            <w:r w:rsidR="00790D5B">
              <w:rPr>
                <w:color w:val="000000"/>
              </w:rPr>
              <w:tab/>
              <w:t>38</w:t>
            </w:r>
          </w:hyperlink>
        </w:p>
        <w:p w14:paraId="0000002D"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qsh70q">
            <w:r w:rsidR="00790D5B">
              <w:rPr>
                <w:color w:val="000000"/>
              </w:rPr>
              <w:t>7.</w:t>
            </w:r>
            <w:r w:rsidR="00790D5B">
              <w:rPr>
                <w:color w:val="000000"/>
              </w:rPr>
              <w:tab/>
              <w:t>Public Consultation and Disclosure</w:t>
            </w:r>
            <w:r w:rsidR="00790D5B">
              <w:rPr>
                <w:color w:val="000000"/>
              </w:rPr>
              <w:tab/>
              <w:t>41</w:t>
            </w:r>
          </w:hyperlink>
        </w:p>
        <w:p w14:paraId="0000002E"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3as4poj">
            <w:r w:rsidR="00790D5B">
              <w:rPr>
                <w:color w:val="000000"/>
              </w:rPr>
              <w:t>8.</w:t>
            </w:r>
            <w:r w:rsidR="00790D5B">
              <w:rPr>
                <w:color w:val="000000"/>
              </w:rPr>
              <w:tab/>
              <w:t>Stakeholder Engagement</w:t>
            </w:r>
            <w:r w:rsidR="00790D5B">
              <w:rPr>
                <w:color w:val="000000"/>
              </w:rPr>
              <w:tab/>
              <w:t>42</w:t>
            </w:r>
          </w:hyperlink>
        </w:p>
        <w:p w14:paraId="0000002F" w14:textId="77777777" w:rsidR="009F1887" w:rsidRDefault="00EC15FD">
          <w:pPr>
            <w:pBdr>
              <w:top w:val="nil"/>
              <w:left w:val="nil"/>
              <w:bottom w:val="nil"/>
              <w:right w:val="nil"/>
              <w:between w:val="nil"/>
            </w:pBdr>
            <w:tabs>
              <w:tab w:val="left" w:pos="660"/>
              <w:tab w:val="right" w:pos="9350"/>
            </w:tabs>
            <w:spacing w:after="100"/>
            <w:ind w:left="220"/>
            <w:rPr>
              <w:color w:val="000000"/>
            </w:rPr>
          </w:pPr>
          <w:hyperlink w:anchor="_heading=h.49x2ik5">
            <w:r w:rsidR="00790D5B">
              <w:rPr>
                <w:color w:val="000000"/>
              </w:rPr>
              <w:t>9.</w:t>
            </w:r>
            <w:r w:rsidR="00790D5B">
              <w:rPr>
                <w:color w:val="000000"/>
              </w:rPr>
              <w:tab/>
              <w:t>Institutional Arrangements, Responsibilities and Capacity Building</w:t>
            </w:r>
            <w:r w:rsidR="00790D5B">
              <w:rPr>
                <w:color w:val="000000"/>
              </w:rPr>
              <w:tab/>
              <w:t>42</w:t>
            </w:r>
          </w:hyperlink>
        </w:p>
        <w:p w14:paraId="00000030" w14:textId="77777777" w:rsidR="009F1887" w:rsidRDefault="00EC15FD">
          <w:pPr>
            <w:pBdr>
              <w:top w:val="nil"/>
              <w:left w:val="nil"/>
              <w:bottom w:val="nil"/>
              <w:right w:val="nil"/>
              <w:between w:val="nil"/>
            </w:pBdr>
            <w:tabs>
              <w:tab w:val="left" w:pos="880"/>
              <w:tab w:val="right" w:pos="9350"/>
            </w:tabs>
            <w:spacing w:after="100"/>
            <w:ind w:left="220"/>
            <w:rPr>
              <w:color w:val="000000"/>
            </w:rPr>
          </w:pPr>
          <w:hyperlink w:anchor="_heading=h.2p2csry">
            <w:r w:rsidR="00790D5B">
              <w:rPr>
                <w:color w:val="000000"/>
              </w:rPr>
              <w:t>10.</w:t>
            </w:r>
            <w:r w:rsidR="00790D5B">
              <w:rPr>
                <w:color w:val="000000"/>
              </w:rPr>
              <w:tab/>
              <w:t>Annexes</w:t>
            </w:r>
            <w:r w:rsidR="00790D5B">
              <w:rPr>
                <w:color w:val="000000"/>
              </w:rPr>
              <w:tab/>
              <w:t>44</w:t>
            </w:r>
          </w:hyperlink>
        </w:p>
        <w:p w14:paraId="00000031" w14:textId="77777777" w:rsidR="009F1887" w:rsidRDefault="00EC15FD">
          <w:pPr>
            <w:pBdr>
              <w:top w:val="nil"/>
              <w:left w:val="nil"/>
              <w:bottom w:val="nil"/>
              <w:right w:val="nil"/>
              <w:between w:val="nil"/>
            </w:pBdr>
            <w:tabs>
              <w:tab w:val="right" w:pos="9350"/>
            </w:tabs>
            <w:spacing w:after="100"/>
            <w:ind w:left="220"/>
            <w:rPr>
              <w:color w:val="000000"/>
            </w:rPr>
          </w:pPr>
          <w:hyperlink w:anchor="_heading=h.147n2zr">
            <w:r w:rsidR="00790D5B">
              <w:rPr>
                <w:color w:val="000000"/>
              </w:rPr>
              <w:t>Annex I. Screening Form for Potential Environmental and Social Issues</w:t>
            </w:r>
            <w:r w:rsidR="00790D5B">
              <w:rPr>
                <w:color w:val="000000"/>
              </w:rPr>
              <w:tab/>
              <w:t>45</w:t>
            </w:r>
          </w:hyperlink>
        </w:p>
        <w:p w14:paraId="00000032" w14:textId="77777777" w:rsidR="009F1887" w:rsidRDefault="00EC15FD">
          <w:pPr>
            <w:pBdr>
              <w:top w:val="nil"/>
              <w:left w:val="nil"/>
              <w:bottom w:val="nil"/>
              <w:right w:val="nil"/>
              <w:between w:val="nil"/>
            </w:pBdr>
            <w:tabs>
              <w:tab w:val="right" w:pos="9350"/>
            </w:tabs>
            <w:spacing w:after="100"/>
            <w:ind w:left="220"/>
            <w:rPr>
              <w:color w:val="000000"/>
            </w:rPr>
          </w:pPr>
          <w:hyperlink w:anchor="_heading=h.3o7alnk">
            <w:r w:rsidR="00790D5B">
              <w:rPr>
                <w:color w:val="000000"/>
              </w:rPr>
              <w:t>Annex II. Guidance for E&amp;S SCREENING AND RISK RATING A  COVID-19 response project</w:t>
            </w:r>
            <w:r w:rsidR="00790D5B">
              <w:rPr>
                <w:color w:val="000000"/>
              </w:rPr>
              <w:tab/>
              <w:t>48</w:t>
            </w:r>
          </w:hyperlink>
        </w:p>
        <w:p w14:paraId="00000033" w14:textId="77777777" w:rsidR="009F1887" w:rsidRDefault="00EC15FD">
          <w:pPr>
            <w:pBdr>
              <w:top w:val="nil"/>
              <w:left w:val="nil"/>
              <w:bottom w:val="nil"/>
              <w:right w:val="nil"/>
              <w:between w:val="nil"/>
            </w:pBdr>
            <w:tabs>
              <w:tab w:val="right" w:pos="9350"/>
            </w:tabs>
            <w:spacing w:after="100"/>
            <w:ind w:left="220"/>
            <w:rPr>
              <w:color w:val="000000"/>
            </w:rPr>
          </w:pPr>
          <w:hyperlink w:anchor="_heading=h.23ckvvd">
            <w:r w:rsidR="00790D5B">
              <w:rPr>
                <w:color w:val="000000"/>
              </w:rPr>
              <w:t>INFECTION CONTROL: CONSIDERATIONS AND TOOLS TO ASSIST IN E&amp;S SCREENING AND RISK RATING:</w:t>
            </w:r>
            <w:r w:rsidR="00790D5B">
              <w:rPr>
                <w:color w:val="000000"/>
              </w:rPr>
              <w:tab/>
              <w:t>48</w:t>
            </w:r>
          </w:hyperlink>
        </w:p>
        <w:p w14:paraId="00000034" w14:textId="77777777" w:rsidR="009F1887" w:rsidRDefault="00EC15FD">
          <w:pPr>
            <w:pBdr>
              <w:top w:val="nil"/>
              <w:left w:val="nil"/>
              <w:bottom w:val="nil"/>
              <w:right w:val="nil"/>
              <w:between w:val="nil"/>
            </w:pBdr>
            <w:tabs>
              <w:tab w:val="right" w:pos="9350"/>
            </w:tabs>
            <w:spacing w:after="100"/>
            <w:ind w:left="220"/>
            <w:rPr>
              <w:color w:val="000000"/>
            </w:rPr>
          </w:pPr>
          <w:hyperlink w:anchor="_heading=h.ihv636">
            <w:r w:rsidR="00790D5B">
              <w:rPr>
                <w:color w:val="000000"/>
              </w:rPr>
              <w:t>Annex III. Environmental and Social Management Plan (ESMP) Template</w:t>
            </w:r>
            <w:r w:rsidR="00790D5B">
              <w:rPr>
                <w:color w:val="000000"/>
              </w:rPr>
              <w:tab/>
              <w:t>50</w:t>
            </w:r>
          </w:hyperlink>
        </w:p>
        <w:p w14:paraId="00000035" w14:textId="77777777" w:rsidR="009F1887" w:rsidRDefault="00EC15FD">
          <w:pPr>
            <w:pBdr>
              <w:top w:val="nil"/>
              <w:left w:val="nil"/>
              <w:bottom w:val="nil"/>
              <w:right w:val="nil"/>
              <w:between w:val="nil"/>
            </w:pBdr>
            <w:tabs>
              <w:tab w:val="right" w:pos="9350"/>
            </w:tabs>
            <w:spacing w:after="100"/>
            <w:ind w:left="220"/>
            <w:rPr>
              <w:color w:val="000000"/>
            </w:rPr>
          </w:pPr>
          <w:hyperlink w:anchor="_heading=h.32hioqz">
            <w:r w:rsidR="00790D5B">
              <w:rPr>
                <w:color w:val="000000"/>
              </w:rPr>
              <w:t>Infection Control and Waste Management Plan (ICWMP) Template</w:t>
            </w:r>
            <w:r w:rsidR="00790D5B">
              <w:rPr>
                <w:color w:val="000000"/>
              </w:rPr>
              <w:tab/>
              <w:t>62</w:t>
            </w:r>
          </w:hyperlink>
        </w:p>
        <w:p w14:paraId="00000036" w14:textId="77777777" w:rsidR="009F1887" w:rsidRDefault="00EC15FD">
          <w:pPr>
            <w:pBdr>
              <w:top w:val="nil"/>
              <w:left w:val="nil"/>
              <w:bottom w:val="nil"/>
              <w:right w:val="nil"/>
              <w:between w:val="nil"/>
            </w:pBdr>
            <w:tabs>
              <w:tab w:val="right" w:pos="9350"/>
            </w:tabs>
            <w:spacing w:after="100"/>
            <w:ind w:left="220"/>
            <w:rPr>
              <w:color w:val="000000"/>
            </w:rPr>
          </w:pPr>
          <w:hyperlink w:anchor="_heading=h.1hmsyys">
            <w:r w:rsidR="00790D5B">
              <w:rPr>
                <w:color w:val="000000"/>
              </w:rPr>
              <w:t>Annex IV. Annex V. Labor</w:t>
            </w:r>
            <w:r w:rsidR="00790D5B">
              <w:rPr>
                <w:color w:val="000000"/>
              </w:rPr>
              <w:tab/>
              <w:t>67</w:t>
            </w:r>
          </w:hyperlink>
        </w:p>
        <w:p w14:paraId="00000037" w14:textId="77777777" w:rsidR="009F1887" w:rsidRDefault="00EC15FD">
          <w:pPr>
            <w:pBdr>
              <w:top w:val="nil"/>
              <w:left w:val="nil"/>
              <w:bottom w:val="nil"/>
              <w:right w:val="nil"/>
              <w:between w:val="nil"/>
            </w:pBdr>
            <w:tabs>
              <w:tab w:val="right" w:pos="9350"/>
            </w:tabs>
            <w:spacing w:after="100"/>
            <w:ind w:left="220"/>
            <w:rPr>
              <w:color w:val="000000"/>
            </w:rPr>
          </w:pPr>
          <w:hyperlink w:anchor="_heading=h.3tbugp1">
            <w:r w:rsidR="00790D5B">
              <w:rPr>
                <w:color w:val="000000"/>
              </w:rPr>
              <w:t>Annex VI. Resource List: COVID-19 Guidance</w:t>
            </w:r>
            <w:r w:rsidR="00790D5B">
              <w:rPr>
                <w:color w:val="000000"/>
              </w:rPr>
              <w:tab/>
              <w:t>68</w:t>
            </w:r>
          </w:hyperlink>
          <w:r w:rsidR="00790D5B">
            <w:fldChar w:fldCharType="end"/>
          </w:r>
        </w:p>
      </w:sdtContent>
    </w:sdt>
    <w:sdt>
      <w:sdtPr>
        <w:tag w:val="goog_rdk_4"/>
        <w:id w:val="1060599048"/>
      </w:sdtPr>
      <w:sdtContent>
        <w:p w14:paraId="00000038" w14:textId="77777777" w:rsidR="009F1887" w:rsidRDefault="00EC15FD">
          <w:pPr>
            <w:rPr>
              <w:ins w:id="2" w:author="Author" w:date="2020-07-15T05:14:00Z"/>
            </w:rPr>
          </w:pPr>
          <w:sdt>
            <w:sdtPr>
              <w:tag w:val="goog_rdk_3"/>
              <w:id w:val="-63652460"/>
            </w:sdtPr>
            <w:sdtContent/>
          </w:sdt>
        </w:p>
      </w:sdtContent>
    </w:sdt>
    <w:p w14:paraId="0000003A" w14:textId="77777777" w:rsidR="009F1887" w:rsidRPr="00EC15FD" w:rsidRDefault="009F1887">
      <w:pPr>
        <w:keepNext/>
        <w:keepLines/>
        <w:pBdr>
          <w:top w:val="nil"/>
          <w:left w:val="nil"/>
          <w:bottom w:val="nil"/>
          <w:right w:val="nil"/>
          <w:between w:val="nil"/>
        </w:pBdr>
        <w:spacing w:after="240" w:line="240" w:lineRule="auto"/>
        <w:jc w:val="center"/>
        <w:rPr>
          <w:rFonts w:asciiTheme="minorHAnsi" w:eastAsia="Times" w:hAnsiTheme="minorHAnsi" w:cs="Times"/>
          <w:b/>
          <w:smallCaps/>
          <w:color w:val="000000"/>
          <w:sz w:val="28"/>
          <w:szCs w:val="28"/>
          <w:lang w:val="ka-GE"/>
        </w:rPr>
      </w:pPr>
    </w:p>
    <w:p w14:paraId="0000003B"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3C"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3D"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3E"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3F"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0"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1"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2"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3"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4"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5"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6"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7"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8"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9"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A"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B"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C"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4D"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sectPr w:rsidR="009F1887">
          <w:pgSz w:w="12240" w:h="15840"/>
          <w:pgMar w:top="1440" w:right="1440" w:bottom="1440" w:left="1440" w:header="270" w:footer="720" w:gutter="0"/>
          <w:cols w:space="720" w:equalWidth="0">
            <w:col w:w="9360"/>
          </w:cols>
        </w:sectPr>
      </w:pPr>
    </w:p>
    <w:p w14:paraId="0000004E" w14:textId="77777777" w:rsidR="009F1887" w:rsidRDefault="00790D5B">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r>
        <w:rPr>
          <w:rFonts w:ascii="Times" w:eastAsia="Times" w:hAnsi="Times" w:cs="Times"/>
          <w:b/>
          <w:smallCaps/>
          <w:color w:val="000000"/>
          <w:sz w:val="28"/>
          <w:szCs w:val="28"/>
        </w:rPr>
        <w:lastRenderedPageBreak/>
        <w:t xml:space="preserve">ABBREVIATIONS AND </w:t>
      </w:r>
      <w:sdt>
        <w:sdtPr>
          <w:tag w:val="goog_rdk_6"/>
          <w:id w:val="1557739950"/>
        </w:sdtPr>
        <w:sdtContent>
          <w:ins w:id="3" w:author="Giorgi Kobaladze" w:date="2020-07-17T06:10:00Z">
            <w:r>
              <w:rPr>
                <w:rFonts w:ascii="Times" w:eastAsia="Times" w:hAnsi="Times" w:cs="Times"/>
                <w:b/>
                <w:smallCaps/>
                <w:color w:val="000000"/>
                <w:sz w:val="28"/>
                <w:szCs w:val="28"/>
              </w:rPr>
              <w:t>ACRONYMS</w:t>
            </w:r>
          </w:ins>
        </w:sdtContent>
      </w:sdt>
      <w:sdt>
        <w:sdtPr>
          <w:tag w:val="goog_rdk_7"/>
          <w:id w:val="285555011"/>
        </w:sdtPr>
        <w:sdtContent>
          <w:del w:id="4" w:author="Giorgi Kobaladze" w:date="2020-07-17T06:10:00Z">
            <w:r>
              <w:rPr>
                <w:rFonts w:ascii="Times" w:eastAsia="Times" w:hAnsi="Times" w:cs="Times"/>
                <w:b/>
                <w:smallCaps/>
                <w:color w:val="000000"/>
                <w:sz w:val="28"/>
                <w:szCs w:val="28"/>
              </w:rPr>
              <w:delText>ACROYMS</w:delText>
            </w:r>
          </w:del>
        </w:sdtContent>
      </w:sdt>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735"/>
        <w:tblGridChange w:id="5">
          <w:tblGrid>
            <w:gridCol w:w="1615"/>
            <w:gridCol w:w="7735"/>
          </w:tblGrid>
        </w:tblGridChange>
      </w:tblGrid>
      <w:tr w:rsidR="009F1887" w14:paraId="0C8956FB" w14:textId="77777777">
        <w:tc>
          <w:tcPr>
            <w:tcW w:w="1615" w:type="dxa"/>
          </w:tcPr>
          <w:p w14:paraId="0000004F" w14:textId="77777777" w:rsidR="009F1887" w:rsidRDefault="00790D5B">
            <w:pPr>
              <w:spacing w:before="60" w:after="60"/>
              <w:rPr>
                <w:sz w:val="24"/>
                <w:szCs w:val="24"/>
              </w:rPr>
            </w:pPr>
            <w:r>
              <w:rPr>
                <w:sz w:val="24"/>
                <w:szCs w:val="24"/>
              </w:rPr>
              <w:t>AIIB</w:t>
            </w:r>
          </w:p>
        </w:tc>
        <w:tc>
          <w:tcPr>
            <w:tcW w:w="7735" w:type="dxa"/>
          </w:tcPr>
          <w:p w14:paraId="00000050" w14:textId="77777777" w:rsidR="009F1887" w:rsidRDefault="00790D5B">
            <w:pPr>
              <w:spacing w:before="60" w:after="60"/>
              <w:rPr>
                <w:sz w:val="24"/>
                <w:szCs w:val="24"/>
              </w:rPr>
            </w:pPr>
            <w:r>
              <w:rPr>
                <w:sz w:val="24"/>
                <w:szCs w:val="24"/>
              </w:rPr>
              <w:t>Asian Infrastructure and Investment and Bank</w:t>
            </w:r>
          </w:p>
        </w:tc>
      </w:tr>
      <w:tr w:rsidR="009F1887" w14:paraId="39EB1BE9" w14:textId="77777777">
        <w:tc>
          <w:tcPr>
            <w:tcW w:w="1615" w:type="dxa"/>
          </w:tcPr>
          <w:p w14:paraId="00000051" w14:textId="77777777" w:rsidR="009F1887" w:rsidRDefault="00790D5B">
            <w:pPr>
              <w:spacing w:before="60" w:after="60"/>
              <w:rPr>
                <w:sz w:val="24"/>
                <w:szCs w:val="24"/>
              </w:rPr>
            </w:pPr>
            <w:r>
              <w:rPr>
                <w:sz w:val="24"/>
                <w:szCs w:val="24"/>
              </w:rPr>
              <w:t>AMR</w:t>
            </w:r>
          </w:p>
        </w:tc>
        <w:tc>
          <w:tcPr>
            <w:tcW w:w="7735" w:type="dxa"/>
            <w:shd w:val="clear" w:color="auto" w:fill="auto"/>
          </w:tcPr>
          <w:p w14:paraId="00000052" w14:textId="77777777" w:rsidR="009F1887" w:rsidRDefault="00EC15FD">
            <w:pPr>
              <w:spacing w:before="60" w:after="60"/>
              <w:jc w:val="both"/>
              <w:rPr>
                <w:sz w:val="24"/>
                <w:szCs w:val="24"/>
              </w:rPr>
            </w:pPr>
            <w:sdt>
              <w:sdtPr>
                <w:tag w:val="goog_rdk_9"/>
                <w:id w:val="397785710"/>
              </w:sdtPr>
              <w:sdtContent>
                <w:ins w:id="6" w:author="Giorgi Kobaladze" w:date="2020-07-17T06:10:00Z">
                  <w:r w:rsidR="00790D5B">
                    <w:rPr>
                      <w:sz w:val="24"/>
                      <w:szCs w:val="24"/>
                    </w:rPr>
                    <w:t>Antimicrobial</w:t>
                  </w:r>
                </w:ins>
              </w:sdtContent>
            </w:sdt>
            <w:sdt>
              <w:sdtPr>
                <w:tag w:val="goog_rdk_10"/>
                <w:id w:val="2093193242"/>
              </w:sdtPr>
              <w:sdtContent>
                <w:del w:id="7" w:author="Giorgi Kobaladze" w:date="2020-07-17T06:10:00Z">
                  <w:r w:rsidR="00790D5B">
                    <w:rPr>
                      <w:sz w:val="24"/>
                      <w:szCs w:val="24"/>
                    </w:rPr>
                    <w:delText>Antimicrobal</w:delText>
                  </w:r>
                </w:del>
              </w:sdtContent>
            </w:sdt>
            <w:r w:rsidR="00790D5B">
              <w:rPr>
                <w:sz w:val="24"/>
                <w:szCs w:val="24"/>
              </w:rPr>
              <w:t xml:space="preserve"> Resistance</w:t>
            </w:r>
          </w:p>
        </w:tc>
      </w:tr>
      <w:tr w:rsidR="009F1887" w14:paraId="0B9A82DA" w14:textId="77777777">
        <w:tc>
          <w:tcPr>
            <w:tcW w:w="1615" w:type="dxa"/>
          </w:tcPr>
          <w:p w14:paraId="00000053" w14:textId="77777777" w:rsidR="009F1887" w:rsidRDefault="00790D5B">
            <w:pPr>
              <w:spacing w:before="60" w:after="60"/>
              <w:rPr>
                <w:sz w:val="24"/>
                <w:szCs w:val="24"/>
              </w:rPr>
            </w:pPr>
            <w:r>
              <w:rPr>
                <w:sz w:val="24"/>
                <w:szCs w:val="24"/>
              </w:rPr>
              <w:t>ANRS</w:t>
            </w:r>
          </w:p>
        </w:tc>
        <w:tc>
          <w:tcPr>
            <w:tcW w:w="7735" w:type="dxa"/>
            <w:shd w:val="clear" w:color="auto" w:fill="auto"/>
          </w:tcPr>
          <w:p w14:paraId="00000054" w14:textId="77777777" w:rsidR="009F1887" w:rsidRDefault="00790D5B">
            <w:pPr>
              <w:spacing w:before="60" w:after="60"/>
              <w:jc w:val="both"/>
              <w:rPr>
                <w:color w:val="4D5156"/>
                <w:sz w:val="24"/>
                <w:szCs w:val="24"/>
                <w:highlight w:val="white"/>
              </w:rPr>
            </w:pPr>
            <w:r>
              <w:rPr>
                <w:sz w:val="24"/>
                <w:szCs w:val="24"/>
              </w:rPr>
              <w:t>Agency of Nuclear and Radiation Safety</w:t>
            </w:r>
          </w:p>
        </w:tc>
      </w:tr>
      <w:tr w:rsidR="009F1887" w14:paraId="419AAA6E" w14:textId="77777777">
        <w:tc>
          <w:tcPr>
            <w:tcW w:w="1615" w:type="dxa"/>
          </w:tcPr>
          <w:p w14:paraId="00000055" w14:textId="77777777" w:rsidR="009F1887" w:rsidRDefault="00790D5B">
            <w:pPr>
              <w:spacing w:before="60" w:after="60"/>
              <w:rPr>
                <w:sz w:val="24"/>
                <w:szCs w:val="24"/>
              </w:rPr>
            </w:pPr>
            <w:r>
              <w:rPr>
                <w:sz w:val="24"/>
                <w:szCs w:val="24"/>
              </w:rPr>
              <w:t xml:space="preserve">CT </w:t>
            </w:r>
          </w:p>
        </w:tc>
        <w:tc>
          <w:tcPr>
            <w:tcW w:w="7735" w:type="dxa"/>
            <w:shd w:val="clear" w:color="auto" w:fill="auto"/>
          </w:tcPr>
          <w:p w14:paraId="00000056" w14:textId="77777777" w:rsidR="009F1887" w:rsidRDefault="00790D5B">
            <w:pPr>
              <w:spacing w:before="60" w:after="60"/>
              <w:jc w:val="both"/>
              <w:rPr>
                <w:color w:val="4D5156"/>
                <w:sz w:val="24"/>
                <w:szCs w:val="24"/>
                <w:highlight w:val="white"/>
              </w:rPr>
            </w:pPr>
            <w:r>
              <w:rPr>
                <w:color w:val="4D5156"/>
                <w:sz w:val="24"/>
                <w:szCs w:val="24"/>
                <w:highlight w:val="white"/>
              </w:rPr>
              <w:t>X-rays computerized tomography</w:t>
            </w:r>
          </w:p>
        </w:tc>
      </w:tr>
      <w:tr w:rsidR="009F1887" w14:paraId="65891181" w14:textId="77777777">
        <w:tc>
          <w:tcPr>
            <w:tcW w:w="1615" w:type="dxa"/>
          </w:tcPr>
          <w:p w14:paraId="00000057" w14:textId="77777777" w:rsidR="009F1887" w:rsidRDefault="00790D5B">
            <w:pPr>
              <w:spacing w:before="60" w:after="60"/>
              <w:rPr>
                <w:sz w:val="24"/>
                <w:szCs w:val="24"/>
              </w:rPr>
            </w:pPr>
            <w:r>
              <w:t>EU</w:t>
            </w:r>
          </w:p>
        </w:tc>
        <w:tc>
          <w:tcPr>
            <w:tcW w:w="7735" w:type="dxa"/>
          </w:tcPr>
          <w:p w14:paraId="00000058" w14:textId="77777777" w:rsidR="009F1887" w:rsidRDefault="00790D5B">
            <w:pPr>
              <w:spacing w:before="60" w:after="60"/>
              <w:jc w:val="both"/>
              <w:rPr>
                <w:sz w:val="24"/>
                <w:szCs w:val="24"/>
              </w:rPr>
            </w:pPr>
            <w:r>
              <w:rPr>
                <w:sz w:val="24"/>
                <w:szCs w:val="24"/>
              </w:rPr>
              <w:t>European Union</w:t>
            </w:r>
          </w:p>
        </w:tc>
      </w:tr>
      <w:tr w:rsidR="009F1887" w14:paraId="56717002" w14:textId="77777777">
        <w:tc>
          <w:tcPr>
            <w:tcW w:w="1615" w:type="dxa"/>
          </w:tcPr>
          <w:p w14:paraId="00000059" w14:textId="77777777" w:rsidR="009F1887" w:rsidRDefault="00790D5B">
            <w:pPr>
              <w:spacing w:before="60" w:after="60"/>
              <w:rPr>
                <w:sz w:val="24"/>
                <w:szCs w:val="24"/>
              </w:rPr>
            </w:pPr>
            <w:r>
              <w:rPr>
                <w:sz w:val="24"/>
                <w:szCs w:val="24"/>
              </w:rPr>
              <w:t>EIA</w:t>
            </w:r>
          </w:p>
        </w:tc>
        <w:tc>
          <w:tcPr>
            <w:tcW w:w="7735" w:type="dxa"/>
          </w:tcPr>
          <w:p w14:paraId="0000005A" w14:textId="77777777" w:rsidR="009F1887" w:rsidRDefault="00790D5B">
            <w:pPr>
              <w:spacing w:before="60" w:after="60"/>
              <w:rPr>
                <w:sz w:val="24"/>
                <w:szCs w:val="24"/>
              </w:rPr>
            </w:pPr>
            <w:r>
              <w:rPr>
                <w:sz w:val="24"/>
                <w:szCs w:val="24"/>
              </w:rPr>
              <w:t>Environmental Impact Assessment</w:t>
            </w:r>
          </w:p>
        </w:tc>
      </w:tr>
      <w:tr w:rsidR="009F1887" w14:paraId="58E2D704" w14:textId="77777777">
        <w:tc>
          <w:tcPr>
            <w:tcW w:w="1615" w:type="dxa"/>
          </w:tcPr>
          <w:p w14:paraId="0000005B" w14:textId="77777777" w:rsidR="009F1887" w:rsidRDefault="00790D5B">
            <w:pPr>
              <w:spacing w:before="60" w:after="60"/>
              <w:rPr>
                <w:sz w:val="24"/>
                <w:szCs w:val="24"/>
              </w:rPr>
            </w:pPr>
            <w:r>
              <w:rPr>
                <w:sz w:val="24"/>
                <w:szCs w:val="24"/>
              </w:rPr>
              <w:t>ESCP</w:t>
            </w:r>
          </w:p>
        </w:tc>
        <w:tc>
          <w:tcPr>
            <w:tcW w:w="7735" w:type="dxa"/>
          </w:tcPr>
          <w:p w14:paraId="0000005C" w14:textId="77777777" w:rsidR="009F1887" w:rsidRDefault="00790D5B">
            <w:pPr>
              <w:spacing w:before="60" w:after="60"/>
              <w:rPr>
                <w:sz w:val="24"/>
                <w:szCs w:val="24"/>
              </w:rPr>
            </w:pPr>
            <w:r>
              <w:rPr>
                <w:sz w:val="24"/>
                <w:szCs w:val="24"/>
              </w:rPr>
              <w:t>Environmental and Social Commitment Plan</w:t>
            </w:r>
          </w:p>
        </w:tc>
      </w:tr>
      <w:tr w:rsidR="009F1887" w14:paraId="115F8993" w14:textId="77777777">
        <w:tc>
          <w:tcPr>
            <w:tcW w:w="1615" w:type="dxa"/>
          </w:tcPr>
          <w:p w14:paraId="0000005D" w14:textId="77777777" w:rsidR="009F1887" w:rsidRDefault="00790D5B">
            <w:pPr>
              <w:spacing w:before="60" w:after="60"/>
              <w:rPr>
                <w:sz w:val="24"/>
                <w:szCs w:val="24"/>
              </w:rPr>
            </w:pPr>
            <w:r>
              <w:rPr>
                <w:sz w:val="24"/>
                <w:szCs w:val="24"/>
              </w:rPr>
              <w:t>ESF</w:t>
            </w:r>
          </w:p>
        </w:tc>
        <w:tc>
          <w:tcPr>
            <w:tcW w:w="7735" w:type="dxa"/>
          </w:tcPr>
          <w:p w14:paraId="0000005E" w14:textId="77777777" w:rsidR="009F1887" w:rsidRDefault="00790D5B">
            <w:pPr>
              <w:spacing w:before="60" w:after="60"/>
              <w:rPr>
                <w:sz w:val="24"/>
                <w:szCs w:val="24"/>
              </w:rPr>
            </w:pPr>
            <w:r>
              <w:rPr>
                <w:sz w:val="24"/>
                <w:szCs w:val="24"/>
              </w:rPr>
              <w:t>Environmental and Social Framework</w:t>
            </w:r>
          </w:p>
        </w:tc>
      </w:tr>
      <w:tr w:rsidR="009F1887" w14:paraId="192D8D11" w14:textId="77777777">
        <w:tc>
          <w:tcPr>
            <w:tcW w:w="1615" w:type="dxa"/>
          </w:tcPr>
          <w:p w14:paraId="0000005F" w14:textId="77777777" w:rsidR="009F1887" w:rsidRDefault="00790D5B">
            <w:pPr>
              <w:spacing w:before="60" w:after="60"/>
              <w:rPr>
                <w:sz w:val="24"/>
                <w:szCs w:val="24"/>
              </w:rPr>
            </w:pPr>
            <w:r>
              <w:rPr>
                <w:sz w:val="24"/>
                <w:szCs w:val="24"/>
              </w:rPr>
              <w:t>ESMF</w:t>
            </w:r>
          </w:p>
        </w:tc>
        <w:tc>
          <w:tcPr>
            <w:tcW w:w="7735" w:type="dxa"/>
          </w:tcPr>
          <w:p w14:paraId="00000060" w14:textId="77777777" w:rsidR="009F1887" w:rsidRDefault="00790D5B">
            <w:pPr>
              <w:spacing w:before="60" w:after="60"/>
              <w:rPr>
                <w:sz w:val="24"/>
                <w:szCs w:val="24"/>
              </w:rPr>
            </w:pPr>
            <w:r>
              <w:rPr>
                <w:sz w:val="24"/>
                <w:szCs w:val="24"/>
              </w:rPr>
              <w:t>Environmental and Social Management Framework</w:t>
            </w:r>
          </w:p>
        </w:tc>
      </w:tr>
      <w:tr w:rsidR="009F1887" w14:paraId="038995A7" w14:textId="77777777">
        <w:tc>
          <w:tcPr>
            <w:tcW w:w="1615" w:type="dxa"/>
          </w:tcPr>
          <w:p w14:paraId="00000061" w14:textId="77777777" w:rsidR="009F1887" w:rsidRDefault="00790D5B">
            <w:pPr>
              <w:spacing w:before="60" w:after="60"/>
              <w:rPr>
                <w:sz w:val="24"/>
                <w:szCs w:val="24"/>
              </w:rPr>
            </w:pPr>
            <w:r>
              <w:rPr>
                <w:sz w:val="24"/>
                <w:szCs w:val="24"/>
              </w:rPr>
              <w:t>ESMP</w:t>
            </w:r>
          </w:p>
        </w:tc>
        <w:tc>
          <w:tcPr>
            <w:tcW w:w="7735" w:type="dxa"/>
          </w:tcPr>
          <w:p w14:paraId="00000062" w14:textId="77777777" w:rsidR="009F1887" w:rsidRDefault="00790D5B">
            <w:pPr>
              <w:spacing w:before="60" w:after="60"/>
              <w:rPr>
                <w:sz w:val="24"/>
                <w:szCs w:val="24"/>
              </w:rPr>
            </w:pPr>
            <w:r>
              <w:rPr>
                <w:sz w:val="24"/>
                <w:szCs w:val="24"/>
              </w:rPr>
              <w:t>Environmental and Social Management Plan</w:t>
            </w:r>
          </w:p>
        </w:tc>
      </w:tr>
      <w:tr w:rsidR="009F1887" w14:paraId="503EDE4A" w14:textId="77777777">
        <w:tc>
          <w:tcPr>
            <w:tcW w:w="1615" w:type="dxa"/>
          </w:tcPr>
          <w:p w14:paraId="00000063" w14:textId="77777777" w:rsidR="009F1887" w:rsidRDefault="00790D5B">
            <w:pPr>
              <w:spacing w:before="60" w:after="60"/>
              <w:rPr>
                <w:sz w:val="24"/>
                <w:szCs w:val="24"/>
              </w:rPr>
            </w:pPr>
            <w:r>
              <w:rPr>
                <w:sz w:val="24"/>
                <w:szCs w:val="24"/>
              </w:rPr>
              <w:t>ESS</w:t>
            </w:r>
          </w:p>
        </w:tc>
        <w:tc>
          <w:tcPr>
            <w:tcW w:w="7735" w:type="dxa"/>
          </w:tcPr>
          <w:p w14:paraId="00000064" w14:textId="77777777" w:rsidR="009F1887" w:rsidRDefault="00790D5B">
            <w:pPr>
              <w:spacing w:before="60" w:after="60"/>
              <w:rPr>
                <w:sz w:val="24"/>
                <w:szCs w:val="24"/>
              </w:rPr>
            </w:pPr>
            <w:r>
              <w:rPr>
                <w:sz w:val="24"/>
                <w:szCs w:val="24"/>
              </w:rPr>
              <w:t>Environmental and Social Standard</w:t>
            </w:r>
          </w:p>
        </w:tc>
      </w:tr>
      <w:tr w:rsidR="009F1887" w14:paraId="16E2A6AF" w14:textId="77777777">
        <w:trPr>
          <w:trHeight w:val="345"/>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5" w14:textId="77777777" w:rsidR="009F1887" w:rsidRDefault="00790D5B">
            <w:pPr>
              <w:pBdr>
                <w:top w:val="nil"/>
                <w:left w:val="nil"/>
                <w:bottom w:val="nil"/>
                <w:right w:val="nil"/>
                <w:between w:val="nil"/>
              </w:pBdr>
              <w:spacing w:before="60" w:after="60"/>
              <w:rPr>
                <w:sz w:val="24"/>
                <w:szCs w:val="24"/>
              </w:rPr>
            </w:pPr>
            <w:r>
              <w:rPr>
                <w:sz w:val="24"/>
                <w:szCs w:val="24"/>
              </w:rPr>
              <w:t>Geostat</w:t>
            </w:r>
          </w:p>
        </w:tc>
        <w:tc>
          <w:tcPr>
            <w:tcW w:w="7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66" w14:textId="77777777" w:rsidR="009F1887" w:rsidRDefault="00790D5B">
            <w:pPr>
              <w:pBdr>
                <w:top w:val="nil"/>
                <w:left w:val="nil"/>
                <w:bottom w:val="nil"/>
                <w:right w:val="nil"/>
                <w:between w:val="nil"/>
              </w:pBdr>
              <w:spacing w:before="60" w:after="60"/>
              <w:rPr>
                <w:sz w:val="24"/>
                <w:szCs w:val="24"/>
              </w:rPr>
            </w:pPr>
            <w:r>
              <w:rPr>
                <w:sz w:val="24"/>
                <w:szCs w:val="24"/>
              </w:rPr>
              <w:t xml:space="preserve">National Statistics Office of Georgia  </w:t>
            </w:r>
          </w:p>
        </w:tc>
      </w:tr>
      <w:tr w:rsidR="009F1887" w14:paraId="10214D56" w14:textId="77777777">
        <w:tc>
          <w:tcPr>
            <w:tcW w:w="1615" w:type="dxa"/>
          </w:tcPr>
          <w:p w14:paraId="00000067" w14:textId="77777777" w:rsidR="009F1887" w:rsidRDefault="00790D5B">
            <w:pPr>
              <w:spacing w:before="60" w:after="60"/>
              <w:rPr>
                <w:sz w:val="24"/>
                <w:szCs w:val="24"/>
              </w:rPr>
            </w:pPr>
            <w:r>
              <w:rPr>
                <w:sz w:val="24"/>
                <w:szCs w:val="24"/>
              </w:rPr>
              <w:t>GIIP</w:t>
            </w:r>
          </w:p>
        </w:tc>
        <w:tc>
          <w:tcPr>
            <w:tcW w:w="7735" w:type="dxa"/>
          </w:tcPr>
          <w:p w14:paraId="00000068" w14:textId="77777777" w:rsidR="009F1887" w:rsidRDefault="00790D5B">
            <w:pPr>
              <w:spacing w:before="60" w:after="60"/>
              <w:rPr>
                <w:sz w:val="24"/>
                <w:szCs w:val="24"/>
              </w:rPr>
            </w:pPr>
            <w:r>
              <w:rPr>
                <w:sz w:val="24"/>
                <w:szCs w:val="24"/>
              </w:rPr>
              <w:t xml:space="preserve">Good International Industry Practice </w:t>
            </w:r>
          </w:p>
        </w:tc>
      </w:tr>
      <w:tr w:rsidR="009F1887" w14:paraId="68A093D6" w14:textId="77777777">
        <w:tc>
          <w:tcPr>
            <w:tcW w:w="1615" w:type="dxa"/>
          </w:tcPr>
          <w:p w14:paraId="00000069" w14:textId="77777777" w:rsidR="009F1887" w:rsidRDefault="00790D5B">
            <w:pPr>
              <w:spacing w:before="60" w:after="60"/>
              <w:rPr>
                <w:sz w:val="24"/>
                <w:szCs w:val="24"/>
              </w:rPr>
            </w:pPr>
            <w:r>
              <w:rPr>
                <w:sz w:val="24"/>
                <w:szCs w:val="24"/>
              </w:rPr>
              <w:t>GBV</w:t>
            </w:r>
          </w:p>
        </w:tc>
        <w:tc>
          <w:tcPr>
            <w:tcW w:w="7735" w:type="dxa"/>
          </w:tcPr>
          <w:p w14:paraId="0000006A" w14:textId="77777777" w:rsidR="009F1887" w:rsidRDefault="00790D5B">
            <w:pPr>
              <w:spacing w:before="60" w:after="60"/>
              <w:rPr>
                <w:sz w:val="24"/>
                <w:szCs w:val="24"/>
              </w:rPr>
            </w:pPr>
            <w:r>
              <w:rPr>
                <w:sz w:val="24"/>
                <w:szCs w:val="24"/>
              </w:rPr>
              <w:t>Gender Based Violence</w:t>
            </w:r>
          </w:p>
        </w:tc>
      </w:tr>
      <w:tr w:rsidR="009F1887" w14:paraId="73547066" w14:textId="77777777">
        <w:tc>
          <w:tcPr>
            <w:tcW w:w="1615" w:type="dxa"/>
          </w:tcPr>
          <w:p w14:paraId="0000006B" w14:textId="77777777" w:rsidR="009F1887" w:rsidRDefault="00790D5B">
            <w:pPr>
              <w:spacing w:before="60" w:after="60"/>
              <w:jc w:val="both"/>
              <w:rPr>
                <w:sz w:val="24"/>
                <w:szCs w:val="24"/>
              </w:rPr>
            </w:pPr>
            <w:r>
              <w:rPr>
                <w:sz w:val="24"/>
                <w:szCs w:val="24"/>
              </w:rPr>
              <w:t>GoG</w:t>
            </w:r>
          </w:p>
        </w:tc>
        <w:tc>
          <w:tcPr>
            <w:tcW w:w="7735" w:type="dxa"/>
          </w:tcPr>
          <w:p w14:paraId="0000006C" w14:textId="77777777" w:rsidR="009F1887" w:rsidRDefault="00790D5B">
            <w:pPr>
              <w:spacing w:before="60" w:after="60"/>
              <w:jc w:val="both"/>
              <w:rPr>
                <w:sz w:val="24"/>
                <w:szCs w:val="24"/>
              </w:rPr>
            </w:pPr>
            <w:r>
              <w:rPr>
                <w:sz w:val="24"/>
                <w:szCs w:val="24"/>
              </w:rPr>
              <w:t>Government of Georgia</w:t>
            </w:r>
          </w:p>
        </w:tc>
      </w:tr>
      <w:tr w:rsidR="009F1887" w14:paraId="0968FC55" w14:textId="77777777">
        <w:tc>
          <w:tcPr>
            <w:tcW w:w="1615" w:type="dxa"/>
          </w:tcPr>
          <w:p w14:paraId="0000006D" w14:textId="77777777" w:rsidR="009F1887" w:rsidRDefault="00790D5B">
            <w:pPr>
              <w:spacing w:before="60" w:after="60"/>
              <w:rPr>
                <w:sz w:val="24"/>
                <w:szCs w:val="24"/>
              </w:rPr>
            </w:pPr>
            <w:r>
              <w:rPr>
                <w:sz w:val="24"/>
                <w:szCs w:val="24"/>
              </w:rPr>
              <w:t>GRM</w:t>
            </w:r>
          </w:p>
        </w:tc>
        <w:tc>
          <w:tcPr>
            <w:tcW w:w="7735" w:type="dxa"/>
          </w:tcPr>
          <w:p w14:paraId="0000006E" w14:textId="77777777" w:rsidR="009F1887" w:rsidRDefault="00790D5B">
            <w:pPr>
              <w:spacing w:before="60" w:after="60"/>
              <w:rPr>
                <w:sz w:val="24"/>
                <w:szCs w:val="24"/>
              </w:rPr>
            </w:pPr>
            <w:r>
              <w:rPr>
                <w:sz w:val="24"/>
                <w:szCs w:val="24"/>
              </w:rPr>
              <w:t>Grievance Redress Mechanism</w:t>
            </w:r>
          </w:p>
        </w:tc>
      </w:tr>
      <w:tr w:rsidR="009F1887" w14:paraId="1BA50559" w14:textId="77777777">
        <w:tc>
          <w:tcPr>
            <w:tcW w:w="1615" w:type="dxa"/>
          </w:tcPr>
          <w:p w14:paraId="0000006F" w14:textId="77777777" w:rsidR="009F1887" w:rsidRDefault="00790D5B">
            <w:pPr>
              <w:spacing w:before="60" w:after="60"/>
              <w:rPr>
                <w:sz w:val="24"/>
                <w:szCs w:val="24"/>
              </w:rPr>
            </w:pPr>
            <w:r>
              <w:rPr>
                <w:sz w:val="24"/>
                <w:szCs w:val="24"/>
              </w:rPr>
              <w:t>IBRD</w:t>
            </w:r>
          </w:p>
        </w:tc>
        <w:tc>
          <w:tcPr>
            <w:tcW w:w="7735" w:type="dxa"/>
          </w:tcPr>
          <w:p w14:paraId="00000070" w14:textId="77777777" w:rsidR="009F1887" w:rsidRDefault="00790D5B">
            <w:pPr>
              <w:spacing w:before="60" w:after="60"/>
              <w:rPr>
                <w:sz w:val="24"/>
                <w:szCs w:val="24"/>
              </w:rPr>
            </w:pPr>
            <w:r>
              <w:rPr>
                <w:sz w:val="24"/>
                <w:szCs w:val="24"/>
              </w:rPr>
              <w:t>International Bank for Reconstruction and Development</w:t>
            </w:r>
          </w:p>
        </w:tc>
      </w:tr>
      <w:tr w:rsidR="009F1887" w14:paraId="24CAF137" w14:textId="77777777">
        <w:tc>
          <w:tcPr>
            <w:tcW w:w="1615" w:type="dxa"/>
          </w:tcPr>
          <w:p w14:paraId="00000071" w14:textId="77777777" w:rsidR="009F1887" w:rsidRDefault="00790D5B">
            <w:pPr>
              <w:spacing w:before="60" w:after="60"/>
              <w:jc w:val="both"/>
              <w:rPr>
                <w:sz w:val="24"/>
                <w:szCs w:val="24"/>
              </w:rPr>
            </w:pPr>
            <w:r>
              <w:rPr>
                <w:sz w:val="24"/>
                <w:szCs w:val="24"/>
              </w:rPr>
              <w:t>ICP</w:t>
            </w:r>
          </w:p>
        </w:tc>
        <w:tc>
          <w:tcPr>
            <w:tcW w:w="7735" w:type="dxa"/>
          </w:tcPr>
          <w:p w14:paraId="00000072" w14:textId="77777777" w:rsidR="009F1887" w:rsidRDefault="00790D5B">
            <w:pPr>
              <w:spacing w:before="60" w:after="60"/>
              <w:jc w:val="both"/>
              <w:rPr>
                <w:sz w:val="24"/>
                <w:szCs w:val="24"/>
              </w:rPr>
            </w:pPr>
            <w:r>
              <w:rPr>
                <w:sz w:val="24"/>
                <w:szCs w:val="24"/>
              </w:rPr>
              <w:t>Infection prevention and control</w:t>
            </w:r>
          </w:p>
        </w:tc>
      </w:tr>
      <w:tr w:rsidR="009F1887" w14:paraId="18948235" w14:textId="77777777">
        <w:tc>
          <w:tcPr>
            <w:tcW w:w="1615" w:type="dxa"/>
          </w:tcPr>
          <w:p w14:paraId="00000073" w14:textId="77777777" w:rsidR="009F1887" w:rsidRDefault="00790D5B">
            <w:pPr>
              <w:spacing w:before="60" w:after="60"/>
              <w:rPr>
                <w:sz w:val="24"/>
                <w:szCs w:val="24"/>
              </w:rPr>
            </w:pPr>
            <w:r>
              <w:rPr>
                <w:sz w:val="24"/>
                <w:szCs w:val="24"/>
              </w:rPr>
              <w:t>ICU</w:t>
            </w:r>
          </w:p>
        </w:tc>
        <w:tc>
          <w:tcPr>
            <w:tcW w:w="7735" w:type="dxa"/>
          </w:tcPr>
          <w:p w14:paraId="00000074" w14:textId="77777777" w:rsidR="009F1887" w:rsidRDefault="00790D5B">
            <w:pPr>
              <w:spacing w:before="60" w:after="60"/>
              <w:rPr>
                <w:sz w:val="24"/>
                <w:szCs w:val="24"/>
              </w:rPr>
            </w:pPr>
            <w:r>
              <w:rPr>
                <w:sz w:val="24"/>
                <w:szCs w:val="24"/>
              </w:rPr>
              <w:t>Intensive Care Unit</w:t>
            </w:r>
          </w:p>
        </w:tc>
      </w:tr>
      <w:tr w:rsidR="009F1887" w14:paraId="1453D9B6" w14:textId="77777777">
        <w:tc>
          <w:tcPr>
            <w:tcW w:w="1615" w:type="dxa"/>
          </w:tcPr>
          <w:p w14:paraId="00000075" w14:textId="77777777" w:rsidR="009F1887" w:rsidRDefault="00790D5B">
            <w:pPr>
              <w:spacing w:before="60" w:after="60"/>
              <w:rPr>
                <w:sz w:val="24"/>
                <w:szCs w:val="24"/>
              </w:rPr>
            </w:pPr>
            <w:r>
              <w:rPr>
                <w:sz w:val="24"/>
                <w:szCs w:val="24"/>
              </w:rPr>
              <w:t>ICWMP</w:t>
            </w:r>
          </w:p>
        </w:tc>
        <w:tc>
          <w:tcPr>
            <w:tcW w:w="7735" w:type="dxa"/>
          </w:tcPr>
          <w:p w14:paraId="00000076" w14:textId="77777777" w:rsidR="009F1887" w:rsidRDefault="00790D5B">
            <w:pPr>
              <w:spacing w:before="60" w:after="60"/>
              <w:rPr>
                <w:sz w:val="24"/>
                <w:szCs w:val="24"/>
              </w:rPr>
            </w:pPr>
            <w:r>
              <w:rPr>
                <w:sz w:val="24"/>
                <w:szCs w:val="24"/>
              </w:rPr>
              <w:t>Infection Control and Waste Management Plan</w:t>
            </w:r>
          </w:p>
        </w:tc>
      </w:tr>
      <w:sdt>
        <w:sdtPr>
          <w:rPr>
            <w:rFonts w:ascii="Calibri" w:eastAsia="Calibri" w:hAnsi="Calibri" w:cs="Calibri"/>
            <w:sz w:val="22"/>
            <w:szCs w:val="22"/>
          </w:rPr>
          <w:tag w:val="goog_rdk_11"/>
          <w:id w:val="1584101876"/>
        </w:sdtPr>
        <w:sdtContent>
          <w:tr w:rsidR="009F1887" w14:paraId="6FD3E645" w14:textId="77777777" w:rsidTr="009F188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 w:author="Giorgi Kobaladze" w:date="2020-07-17T07:15:00Z">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30"/>
            </w:trPr>
            <w:tc>
              <w:tcPr>
                <w:tcW w:w="1615" w:type="dxa"/>
                <w:tcPrChange w:id="9" w:author="Giorgi Kobaladze" w:date="2020-07-17T07:15:00Z">
                  <w:tcPr>
                    <w:tcW w:w="0" w:type="auto"/>
                  </w:tcPr>
                </w:tcPrChange>
              </w:tcPr>
              <w:p w14:paraId="00000077" w14:textId="77777777" w:rsidR="009F1887" w:rsidRDefault="00790D5B">
                <w:pPr>
                  <w:spacing w:before="60" w:after="60"/>
                  <w:rPr>
                    <w:sz w:val="24"/>
                    <w:szCs w:val="24"/>
                  </w:rPr>
                </w:pPr>
                <w:r>
                  <w:rPr>
                    <w:sz w:val="24"/>
                    <w:szCs w:val="24"/>
                  </w:rPr>
                  <w:t>ILO</w:t>
                </w:r>
              </w:p>
            </w:tc>
            <w:tc>
              <w:tcPr>
                <w:tcW w:w="7735" w:type="dxa"/>
                <w:tcPrChange w:id="10" w:author="Giorgi Kobaladze" w:date="2020-07-17T07:15:00Z">
                  <w:tcPr>
                    <w:tcW w:w="0" w:type="auto"/>
                  </w:tcPr>
                </w:tcPrChange>
              </w:tcPr>
              <w:p w14:paraId="00000078" w14:textId="77777777" w:rsidR="009F1887" w:rsidRDefault="00790D5B">
                <w:pPr>
                  <w:spacing w:before="60" w:after="60"/>
                  <w:rPr>
                    <w:sz w:val="24"/>
                    <w:szCs w:val="24"/>
                  </w:rPr>
                </w:pPr>
                <w:r>
                  <w:rPr>
                    <w:sz w:val="24"/>
                    <w:szCs w:val="24"/>
                  </w:rPr>
                  <w:t>International Labor Organization</w:t>
                </w:r>
              </w:p>
            </w:tc>
          </w:tr>
        </w:sdtContent>
      </w:sdt>
      <w:sdt>
        <w:sdtPr>
          <w:rPr>
            <w:rFonts w:ascii="Calibri" w:eastAsia="Calibri" w:hAnsi="Calibri" w:cs="Calibri"/>
            <w:sz w:val="22"/>
            <w:szCs w:val="22"/>
          </w:rPr>
          <w:tag w:val="goog_rdk_13"/>
          <w:id w:val="1626739902"/>
        </w:sdtPr>
        <w:sdtContent>
          <w:tr w:rsidR="009F1887" w14:paraId="3E7F30AF" w14:textId="77777777">
            <w:trPr>
              <w:ins w:id="11" w:author="Giorgi Kobaladze" w:date="2020-07-17T06:11:00Z"/>
            </w:trPr>
            <w:tc>
              <w:tcPr>
                <w:tcW w:w="1615" w:type="dxa"/>
              </w:tcPr>
              <w:sdt>
                <w:sdtPr>
                  <w:tag w:val="goog_rdk_15"/>
                  <w:id w:val="-1332134290"/>
                </w:sdtPr>
                <w:sdtContent>
                  <w:p w14:paraId="00000079" w14:textId="77777777" w:rsidR="009F1887" w:rsidRDefault="00EC15FD">
                    <w:pPr>
                      <w:spacing w:before="60" w:after="60"/>
                      <w:rPr>
                        <w:ins w:id="12" w:author="Giorgi Kobaladze" w:date="2020-07-17T06:11:00Z"/>
                        <w:sz w:val="24"/>
                        <w:szCs w:val="24"/>
                      </w:rPr>
                    </w:pPr>
                    <w:sdt>
                      <w:sdtPr>
                        <w:tag w:val="goog_rdk_14"/>
                        <w:id w:val="-261219093"/>
                      </w:sdtPr>
                      <w:sdtContent>
                        <w:ins w:id="13" w:author="Giorgi Kobaladze" w:date="2020-07-17T06:11:00Z">
                          <w:r w:rsidR="00790D5B">
                            <w:rPr>
                              <w:sz w:val="24"/>
                              <w:szCs w:val="24"/>
                            </w:rPr>
                            <w:t>LEPL</w:t>
                          </w:r>
                        </w:ins>
                      </w:sdtContent>
                    </w:sdt>
                  </w:p>
                </w:sdtContent>
              </w:sdt>
            </w:tc>
            <w:tc>
              <w:tcPr>
                <w:tcW w:w="7735" w:type="dxa"/>
              </w:tcPr>
              <w:sdt>
                <w:sdtPr>
                  <w:tag w:val="goog_rdk_17"/>
                  <w:id w:val="731507901"/>
                </w:sdtPr>
                <w:sdtContent>
                  <w:p w14:paraId="0000007A" w14:textId="77777777" w:rsidR="009F1887" w:rsidRDefault="00EC15FD">
                    <w:pPr>
                      <w:spacing w:before="60" w:after="60"/>
                      <w:rPr>
                        <w:ins w:id="14" w:author="Giorgi Kobaladze" w:date="2020-07-17T06:11:00Z"/>
                        <w:sz w:val="24"/>
                        <w:szCs w:val="24"/>
                      </w:rPr>
                    </w:pPr>
                    <w:sdt>
                      <w:sdtPr>
                        <w:tag w:val="goog_rdk_16"/>
                        <w:id w:val="1526365970"/>
                      </w:sdtPr>
                      <w:sdtContent>
                        <w:ins w:id="15" w:author="Giorgi Kobaladze" w:date="2020-07-17T06:11:00Z">
                          <w:r w:rsidR="00790D5B">
                            <w:rPr>
                              <w:sz w:val="24"/>
                              <w:szCs w:val="24"/>
                            </w:rPr>
                            <w:t>Legal Entities of Public Law</w:t>
                          </w:r>
                        </w:ins>
                      </w:sdtContent>
                    </w:sdt>
                  </w:p>
                </w:sdtContent>
              </w:sdt>
            </w:tc>
          </w:tr>
        </w:sdtContent>
      </w:sdt>
      <w:tr w:rsidR="009F1887" w14:paraId="0A197AD8" w14:textId="77777777">
        <w:tc>
          <w:tcPr>
            <w:tcW w:w="1615" w:type="dxa"/>
          </w:tcPr>
          <w:p w14:paraId="0000007B" w14:textId="77777777" w:rsidR="009F1887" w:rsidRDefault="00790D5B">
            <w:pPr>
              <w:spacing w:before="60" w:after="60"/>
              <w:rPr>
                <w:sz w:val="24"/>
                <w:szCs w:val="24"/>
              </w:rPr>
            </w:pPr>
            <w:r>
              <w:rPr>
                <w:sz w:val="24"/>
                <w:szCs w:val="24"/>
              </w:rPr>
              <w:t>LMP</w:t>
            </w:r>
          </w:p>
        </w:tc>
        <w:tc>
          <w:tcPr>
            <w:tcW w:w="7735" w:type="dxa"/>
          </w:tcPr>
          <w:p w14:paraId="0000007C" w14:textId="77777777" w:rsidR="009F1887" w:rsidRDefault="00790D5B">
            <w:pPr>
              <w:spacing w:before="60" w:after="60"/>
              <w:rPr>
                <w:sz w:val="24"/>
                <w:szCs w:val="24"/>
              </w:rPr>
            </w:pPr>
            <w:r>
              <w:rPr>
                <w:sz w:val="24"/>
                <w:szCs w:val="24"/>
              </w:rPr>
              <w:t>Labor Management Procedures</w:t>
            </w:r>
          </w:p>
        </w:tc>
      </w:tr>
      <w:tr w:rsidR="009F1887" w14:paraId="0E8A6585" w14:textId="77777777">
        <w:tc>
          <w:tcPr>
            <w:tcW w:w="1615" w:type="dxa"/>
          </w:tcPr>
          <w:p w14:paraId="0000007D" w14:textId="77777777" w:rsidR="009F1887" w:rsidRDefault="00790D5B">
            <w:pPr>
              <w:spacing w:before="60" w:after="60"/>
              <w:jc w:val="both"/>
              <w:rPr>
                <w:sz w:val="24"/>
                <w:szCs w:val="24"/>
              </w:rPr>
            </w:pPr>
            <w:r>
              <w:rPr>
                <w:sz w:val="24"/>
                <w:szCs w:val="24"/>
              </w:rPr>
              <w:t xml:space="preserve">MRT </w:t>
            </w:r>
          </w:p>
        </w:tc>
        <w:tc>
          <w:tcPr>
            <w:tcW w:w="7735" w:type="dxa"/>
          </w:tcPr>
          <w:p w14:paraId="0000007E" w14:textId="77777777" w:rsidR="009F1887" w:rsidRDefault="00790D5B">
            <w:pPr>
              <w:spacing w:before="60" w:after="60"/>
              <w:jc w:val="both"/>
              <w:rPr>
                <w:sz w:val="24"/>
                <w:szCs w:val="24"/>
              </w:rPr>
            </w:pPr>
            <w:r>
              <w:rPr>
                <w:sz w:val="24"/>
                <w:szCs w:val="24"/>
              </w:rPr>
              <w:t>Magnetic Resonance Tomography</w:t>
            </w:r>
          </w:p>
        </w:tc>
      </w:tr>
      <w:tr w:rsidR="009F1887" w14:paraId="6E6569DE" w14:textId="77777777">
        <w:tc>
          <w:tcPr>
            <w:tcW w:w="1615" w:type="dxa"/>
          </w:tcPr>
          <w:p w14:paraId="0000007F" w14:textId="77777777" w:rsidR="009F1887" w:rsidRDefault="00790D5B">
            <w:pPr>
              <w:spacing w:before="60" w:after="60"/>
              <w:rPr>
                <w:sz w:val="24"/>
                <w:szCs w:val="24"/>
              </w:rPr>
            </w:pPr>
            <w:r>
              <w:rPr>
                <w:sz w:val="24"/>
                <w:szCs w:val="24"/>
              </w:rPr>
              <w:t>MEPA</w:t>
            </w:r>
          </w:p>
        </w:tc>
        <w:tc>
          <w:tcPr>
            <w:tcW w:w="7735" w:type="dxa"/>
          </w:tcPr>
          <w:p w14:paraId="00000080" w14:textId="77777777" w:rsidR="009F1887" w:rsidRDefault="00790D5B">
            <w:pPr>
              <w:spacing w:before="60" w:after="60"/>
              <w:rPr>
                <w:sz w:val="24"/>
                <w:szCs w:val="24"/>
              </w:rPr>
            </w:pPr>
            <w:r>
              <w:rPr>
                <w:sz w:val="24"/>
                <w:szCs w:val="24"/>
              </w:rPr>
              <w:t>Ministry of Environment Protection and Agriculture</w:t>
            </w:r>
          </w:p>
        </w:tc>
      </w:tr>
      <w:tr w:rsidR="009F1887" w14:paraId="439B5F96" w14:textId="77777777">
        <w:tc>
          <w:tcPr>
            <w:tcW w:w="1615" w:type="dxa"/>
          </w:tcPr>
          <w:p w14:paraId="00000081" w14:textId="77777777" w:rsidR="009F1887" w:rsidRDefault="00790D5B">
            <w:pPr>
              <w:spacing w:before="60" w:after="60"/>
              <w:jc w:val="both"/>
              <w:rPr>
                <w:sz w:val="24"/>
                <w:szCs w:val="24"/>
              </w:rPr>
            </w:pPr>
            <w:r>
              <w:rPr>
                <w:sz w:val="24"/>
                <w:szCs w:val="24"/>
              </w:rPr>
              <w:t>MIA</w:t>
            </w:r>
          </w:p>
        </w:tc>
        <w:tc>
          <w:tcPr>
            <w:tcW w:w="7735" w:type="dxa"/>
          </w:tcPr>
          <w:p w14:paraId="00000082" w14:textId="77777777" w:rsidR="009F1887" w:rsidRDefault="00790D5B">
            <w:pPr>
              <w:spacing w:before="60" w:after="60"/>
              <w:jc w:val="both"/>
              <w:rPr>
                <w:sz w:val="24"/>
                <w:szCs w:val="24"/>
              </w:rPr>
            </w:pPr>
            <w:r>
              <w:rPr>
                <w:sz w:val="24"/>
                <w:szCs w:val="24"/>
              </w:rPr>
              <w:t>Ministry of Internal Affairs of Georgia</w:t>
            </w:r>
          </w:p>
        </w:tc>
      </w:tr>
      <w:tr w:rsidR="009F1887" w14:paraId="3AAED3BC" w14:textId="77777777">
        <w:tc>
          <w:tcPr>
            <w:tcW w:w="1615" w:type="dxa"/>
          </w:tcPr>
          <w:p w14:paraId="00000083" w14:textId="77777777" w:rsidR="009F1887" w:rsidRDefault="00790D5B">
            <w:pPr>
              <w:spacing w:before="60" w:after="60"/>
              <w:rPr>
                <w:sz w:val="24"/>
                <w:szCs w:val="24"/>
              </w:rPr>
            </w:pPr>
            <w:r>
              <w:rPr>
                <w:sz w:val="24"/>
                <w:szCs w:val="24"/>
              </w:rPr>
              <w:t>MoILHSA</w:t>
            </w:r>
          </w:p>
        </w:tc>
        <w:tc>
          <w:tcPr>
            <w:tcW w:w="7735" w:type="dxa"/>
          </w:tcPr>
          <w:p w14:paraId="00000084" w14:textId="77777777" w:rsidR="009F1887" w:rsidRDefault="00790D5B">
            <w:pPr>
              <w:spacing w:before="60" w:after="60"/>
              <w:rPr>
                <w:sz w:val="24"/>
                <w:szCs w:val="24"/>
              </w:rPr>
            </w:pPr>
            <w:r>
              <w:rPr>
                <w:sz w:val="24"/>
                <w:szCs w:val="24"/>
              </w:rPr>
              <w:t>Ministry of Internally Displaced People from the Occupied Territories, Labor, Health and Social Affairs</w:t>
            </w:r>
          </w:p>
        </w:tc>
      </w:tr>
      <w:tr w:rsidR="009F1887" w14:paraId="5FFDAFC2" w14:textId="77777777">
        <w:tc>
          <w:tcPr>
            <w:tcW w:w="1615" w:type="dxa"/>
          </w:tcPr>
          <w:p w14:paraId="00000085" w14:textId="77777777" w:rsidR="009F1887" w:rsidRDefault="00790D5B">
            <w:pPr>
              <w:spacing w:before="60" w:after="60"/>
              <w:jc w:val="both"/>
              <w:rPr>
                <w:sz w:val="24"/>
                <w:szCs w:val="24"/>
              </w:rPr>
            </w:pPr>
            <w:r>
              <w:rPr>
                <w:sz w:val="24"/>
                <w:szCs w:val="24"/>
              </w:rPr>
              <w:t>MoD</w:t>
            </w:r>
          </w:p>
        </w:tc>
        <w:tc>
          <w:tcPr>
            <w:tcW w:w="7735" w:type="dxa"/>
          </w:tcPr>
          <w:p w14:paraId="00000086" w14:textId="77777777" w:rsidR="009F1887" w:rsidRDefault="00790D5B">
            <w:pPr>
              <w:spacing w:before="60" w:after="60"/>
              <w:jc w:val="both"/>
              <w:rPr>
                <w:sz w:val="24"/>
                <w:szCs w:val="24"/>
              </w:rPr>
            </w:pPr>
            <w:r>
              <w:rPr>
                <w:sz w:val="24"/>
                <w:szCs w:val="24"/>
              </w:rPr>
              <w:t>Ministry of Defense of Georgia</w:t>
            </w:r>
          </w:p>
        </w:tc>
      </w:tr>
      <w:tr w:rsidR="009F1887" w14:paraId="224C84DD" w14:textId="77777777">
        <w:tc>
          <w:tcPr>
            <w:tcW w:w="1615" w:type="dxa"/>
          </w:tcPr>
          <w:p w14:paraId="00000087" w14:textId="77777777" w:rsidR="009F1887" w:rsidRDefault="00790D5B">
            <w:pPr>
              <w:spacing w:before="60" w:after="60"/>
              <w:jc w:val="both"/>
              <w:rPr>
                <w:sz w:val="24"/>
                <w:szCs w:val="24"/>
              </w:rPr>
            </w:pPr>
            <w:r>
              <w:rPr>
                <w:sz w:val="24"/>
                <w:szCs w:val="24"/>
              </w:rPr>
              <w:t>PCR</w:t>
            </w:r>
          </w:p>
        </w:tc>
        <w:tc>
          <w:tcPr>
            <w:tcW w:w="7735" w:type="dxa"/>
          </w:tcPr>
          <w:p w14:paraId="00000088" w14:textId="77777777" w:rsidR="009F1887" w:rsidRDefault="00790D5B">
            <w:pPr>
              <w:spacing w:before="60" w:after="60"/>
              <w:jc w:val="both"/>
              <w:rPr>
                <w:sz w:val="24"/>
                <w:szCs w:val="24"/>
              </w:rPr>
            </w:pPr>
            <w:r>
              <w:rPr>
                <w:sz w:val="24"/>
                <w:szCs w:val="24"/>
              </w:rPr>
              <w:t>Polymerase Chain Reaction</w:t>
            </w:r>
          </w:p>
        </w:tc>
      </w:tr>
      <w:tr w:rsidR="009F1887" w14:paraId="6C91CE86" w14:textId="77777777">
        <w:tc>
          <w:tcPr>
            <w:tcW w:w="1615" w:type="dxa"/>
          </w:tcPr>
          <w:p w14:paraId="00000089" w14:textId="77777777" w:rsidR="009F1887" w:rsidRDefault="00790D5B">
            <w:pPr>
              <w:spacing w:before="60" w:after="60"/>
              <w:rPr>
                <w:sz w:val="24"/>
                <w:szCs w:val="24"/>
              </w:rPr>
            </w:pPr>
            <w:r>
              <w:rPr>
                <w:sz w:val="24"/>
                <w:szCs w:val="24"/>
              </w:rPr>
              <w:lastRenderedPageBreak/>
              <w:t>POPs</w:t>
            </w:r>
          </w:p>
        </w:tc>
        <w:tc>
          <w:tcPr>
            <w:tcW w:w="7735" w:type="dxa"/>
          </w:tcPr>
          <w:p w14:paraId="0000008A" w14:textId="77777777" w:rsidR="009F1887" w:rsidRDefault="00790D5B">
            <w:pPr>
              <w:spacing w:before="60" w:after="60"/>
              <w:rPr>
                <w:sz w:val="24"/>
                <w:szCs w:val="24"/>
              </w:rPr>
            </w:pPr>
            <w:r>
              <w:rPr>
                <w:sz w:val="24"/>
                <w:szCs w:val="24"/>
              </w:rPr>
              <w:t>Persistent Organic Pollutants</w:t>
            </w:r>
          </w:p>
        </w:tc>
      </w:tr>
      <w:tr w:rsidR="009F1887" w14:paraId="30ACEC62" w14:textId="77777777">
        <w:tc>
          <w:tcPr>
            <w:tcW w:w="1615" w:type="dxa"/>
          </w:tcPr>
          <w:p w14:paraId="0000008B" w14:textId="77777777" w:rsidR="009F1887" w:rsidRDefault="00790D5B">
            <w:pPr>
              <w:spacing w:before="60" w:after="60"/>
              <w:rPr>
                <w:sz w:val="24"/>
                <w:szCs w:val="24"/>
              </w:rPr>
            </w:pPr>
            <w:r>
              <w:rPr>
                <w:sz w:val="24"/>
                <w:szCs w:val="24"/>
              </w:rPr>
              <w:t>PPE</w:t>
            </w:r>
          </w:p>
        </w:tc>
        <w:tc>
          <w:tcPr>
            <w:tcW w:w="7735" w:type="dxa"/>
          </w:tcPr>
          <w:p w14:paraId="0000008C" w14:textId="77777777" w:rsidR="009F1887" w:rsidRDefault="00790D5B">
            <w:pPr>
              <w:spacing w:before="60" w:after="60"/>
              <w:rPr>
                <w:sz w:val="24"/>
                <w:szCs w:val="24"/>
              </w:rPr>
            </w:pPr>
            <w:r>
              <w:rPr>
                <w:sz w:val="24"/>
                <w:szCs w:val="24"/>
              </w:rPr>
              <w:t>Personal Protective Equipment</w:t>
            </w:r>
          </w:p>
        </w:tc>
      </w:tr>
      <w:tr w:rsidR="009F1887" w14:paraId="74F52F42" w14:textId="77777777">
        <w:tc>
          <w:tcPr>
            <w:tcW w:w="1615" w:type="dxa"/>
          </w:tcPr>
          <w:p w14:paraId="0000008D" w14:textId="77777777" w:rsidR="009F1887" w:rsidRDefault="00790D5B">
            <w:pPr>
              <w:spacing w:before="60" w:after="60"/>
              <w:rPr>
                <w:sz w:val="24"/>
                <w:szCs w:val="24"/>
              </w:rPr>
            </w:pPr>
            <w:r>
              <w:rPr>
                <w:sz w:val="24"/>
                <w:szCs w:val="24"/>
              </w:rPr>
              <w:t>SEA</w:t>
            </w:r>
          </w:p>
        </w:tc>
        <w:tc>
          <w:tcPr>
            <w:tcW w:w="7735" w:type="dxa"/>
          </w:tcPr>
          <w:p w14:paraId="0000008E" w14:textId="77777777" w:rsidR="009F1887" w:rsidRDefault="00790D5B">
            <w:pPr>
              <w:spacing w:before="60" w:after="60"/>
              <w:rPr>
                <w:sz w:val="24"/>
                <w:szCs w:val="24"/>
              </w:rPr>
            </w:pPr>
            <w:r>
              <w:rPr>
                <w:sz w:val="24"/>
                <w:szCs w:val="24"/>
              </w:rPr>
              <w:t xml:space="preserve">Sexual Exploitation and Abuse </w:t>
            </w:r>
          </w:p>
        </w:tc>
      </w:tr>
      <w:tr w:rsidR="009F1887" w14:paraId="7D22F800" w14:textId="77777777">
        <w:tc>
          <w:tcPr>
            <w:tcW w:w="1615" w:type="dxa"/>
          </w:tcPr>
          <w:p w14:paraId="0000008F" w14:textId="77777777" w:rsidR="009F1887" w:rsidRDefault="00790D5B">
            <w:pPr>
              <w:spacing w:before="60" w:after="60"/>
              <w:rPr>
                <w:sz w:val="24"/>
                <w:szCs w:val="24"/>
              </w:rPr>
            </w:pPr>
            <w:r>
              <w:rPr>
                <w:sz w:val="24"/>
                <w:szCs w:val="24"/>
              </w:rPr>
              <w:t>SH</w:t>
            </w:r>
          </w:p>
        </w:tc>
        <w:tc>
          <w:tcPr>
            <w:tcW w:w="7735" w:type="dxa"/>
          </w:tcPr>
          <w:p w14:paraId="00000090" w14:textId="77777777" w:rsidR="009F1887" w:rsidRDefault="00790D5B">
            <w:pPr>
              <w:spacing w:before="60" w:after="60"/>
              <w:rPr>
                <w:sz w:val="24"/>
                <w:szCs w:val="24"/>
              </w:rPr>
            </w:pPr>
            <w:r>
              <w:rPr>
                <w:sz w:val="24"/>
                <w:szCs w:val="24"/>
              </w:rPr>
              <w:t xml:space="preserve">Sexual Harassment </w:t>
            </w:r>
          </w:p>
        </w:tc>
      </w:tr>
      <w:tr w:rsidR="009F1887" w14:paraId="4191101C" w14:textId="77777777">
        <w:tc>
          <w:tcPr>
            <w:tcW w:w="1615" w:type="dxa"/>
          </w:tcPr>
          <w:p w14:paraId="00000091" w14:textId="77777777" w:rsidR="009F1887" w:rsidRDefault="00790D5B">
            <w:pPr>
              <w:spacing w:before="60" w:after="60"/>
              <w:rPr>
                <w:sz w:val="24"/>
                <w:szCs w:val="24"/>
              </w:rPr>
            </w:pPr>
            <w:r>
              <w:rPr>
                <w:sz w:val="24"/>
                <w:szCs w:val="24"/>
              </w:rPr>
              <w:t>SEP</w:t>
            </w:r>
          </w:p>
        </w:tc>
        <w:tc>
          <w:tcPr>
            <w:tcW w:w="7735" w:type="dxa"/>
          </w:tcPr>
          <w:p w14:paraId="00000092" w14:textId="77777777" w:rsidR="009F1887" w:rsidRDefault="00790D5B">
            <w:pPr>
              <w:spacing w:before="60" w:after="60"/>
              <w:rPr>
                <w:sz w:val="24"/>
                <w:szCs w:val="24"/>
              </w:rPr>
            </w:pPr>
            <w:r>
              <w:rPr>
                <w:sz w:val="24"/>
                <w:szCs w:val="24"/>
              </w:rPr>
              <w:t>Stakeholder Engagement Plan</w:t>
            </w:r>
          </w:p>
        </w:tc>
      </w:tr>
      <w:tr w:rsidR="009F1887" w14:paraId="7523E29A" w14:textId="77777777">
        <w:tc>
          <w:tcPr>
            <w:tcW w:w="1615" w:type="dxa"/>
          </w:tcPr>
          <w:p w14:paraId="00000093" w14:textId="77777777" w:rsidR="009F1887" w:rsidRDefault="00790D5B">
            <w:pPr>
              <w:spacing w:before="60" w:after="60"/>
              <w:rPr>
                <w:sz w:val="24"/>
                <w:szCs w:val="24"/>
              </w:rPr>
            </w:pPr>
            <w:r>
              <w:rPr>
                <w:sz w:val="24"/>
                <w:szCs w:val="24"/>
              </w:rPr>
              <w:t>TSA</w:t>
            </w:r>
          </w:p>
        </w:tc>
        <w:tc>
          <w:tcPr>
            <w:tcW w:w="7735" w:type="dxa"/>
          </w:tcPr>
          <w:p w14:paraId="00000094" w14:textId="77777777" w:rsidR="009F1887" w:rsidRDefault="00790D5B">
            <w:pPr>
              <w:spacing w:before="60" w:after="60"/>
              <w:rPr>
                <w:sz w:val="24"/>
                <w:szCs w:val="24"/>
              </w:rPr>
            </w:pPr>
            <w:r>
              <w:rPr>
                <w:sz w:val="24"/>
                <w:szCs w:val="24"/>
              </w:rPr>
              <w:t>Targeted Social Assistance</w:t>
            </w:r>
          </w:p>
        </w:tc>
      </w:tr>
      <w:sdt>
        <w:sdtPr>
          <w:rPr>
            <w:rFonts w:ascii="Calibri" w:eastAsia="Calibri" w:hAnsi="Calibri" w:cs="Calibri"/>
            <w:sz w:val="22"/>
            <w:szCs w:val="22"/>
          </w:rPr>
          <w:tag w:val="goog_rdk_19"/>
          <w:id w:val="1557046051"/>
        </w:sdtPr>
        <w:sdtContent>
          <w:tr w:rsidR="009F1887" w14:paraId="3165EDFB" w14:textId="77777777">
            <w:trPr>
              <w:ins w:id="16" w:author="Giorgi Kobaladze" w:date="2020-07-17T06:12:00Z"/>
            </w:trPr>
            <w:tc>
              <w:tcPr>
                <w:tcW w:w="1615" w:type="dxa"/>
              </w:tcPr>
              <w:sdt>
                <w:sdtPr>
                  <w:tag w:val="goog_rdk_21"/>
                  <w:id w:val="-2131149901"/>
                </w:sdtPr>
                <w:sdtContent>
                  <w:p w14:paraId="00000095" w14:textId="77777777" w:rsidR="009F1887" w:rsidRDefault="00EC15FD">
                    <w:pPr>
                      <w:spacing w:before="60" w:after="60"/>
                      <w:rPr>
                        <w:ins w:id="17" w:author="Giorgi Kobaladze" w:date="2020-07-17T06:12:00Z"/>
                        <w:sz w:val="24"/>
                        <w:szCs w:val="24"/>
                      </w:rPr>
                    </w:pPr>
                    <w:sdt>
                      <w:sdtPr>
                        <w:tag w:val="goog_rdk_20"/>
                        <w:id w:val="-109982793"/>
                      </w:sdtPr>
                      <w:sdtContent>
                        <w:ins w:id="18" w:author="Giorgi Kobaladze" w:date="2020-07-17T06:12:00Z">
                          <w:r w:rsidR="00790D5B">
                            <w:rPr>
                              <w:sz w:val="24"/>
                              <w:szCs w:val="24"/>
                            </w:rPr>
                            <w:t>UNECE</w:t>
                          </w:r>
                        </w:ins>
                      </w:sdtContent>
                    </w:sdt>
                  </w:p>
                </w:sdtContent>
              </w:sdt>
            </w:tc>
            <w:tc>
              <w:tcPr>
                <w:tcW w:w="7735" w:type="dxa"/>
              </w:tcPr>
              <w:sdt>
                <w:sdtPr>
                  <w:tag w:val="goog_rdk_23"/>
                  <w:id w:val="-802314360"/>
                </w:sdtPr>
                <w:sdtContent>
                  <w:p w14:paraId="00000096" w14:textId="77777777" w:rsidR="009F1887" w:rsidRDefault="00EC15FD">
                    <w:pPr>
                      <w:spacing w:before="60" w:after="60"/>
                      <w:rPr>
                        <w:ins w:id="19" w:author="Giorgi Kobaladze" w:date="2020-07-17T06:12:00Z"/>
                        <w:sz w:val="24"/>
                        <w:szCs w:val="24"/>
                      </w:rPr>
                    </w:pPr>
                    <w:sdt>
                      <w:sdtPr>
                        <w:tag w:val="goog_rdk_22"/>
                        <w:id w:val="-1805541207"/>
                      </w:sdtPr>
                      <w:sdtContent>
                        <w:ins w:id="20" w:author="Giorgi Kobaladze" w:date="2020-07-17T06:12:00Z">
                          <w:r w:rsidR="00790D5B">
                            <w:rPr>
                              <w:sz w:val="24"/>
                              <w:szCs w:val="24"/>
                            </w:rPr>
                            <w:t>United Nations Economic Commission for Europe</w:t>
                          </w:r>
                        </w:ins>
                      </w:sdtContent>
                    </w:sdt>
                  </w:p>
                </w:sdtContent>
              </w:sdt>
            </w:tc>
          </w:tr>
        </w:sdtContent>
      </w:sdt>
      <w:tr w:rsidR="009F1887" w14:paraId="6D340535" w14:textId="77777777">
        <w:tc>
          <w:tcPr>
            <w:tcW w:w="1615" w:type="dxa"/>
          </w:tcPr>
          <w:p w14:paraId="00000097" w14:textId="77777777" w:rsidR="009F1887" w:rsidRDefault="00790D5B">
            <w:pPr>
              <w:spacing w:before="60" w:after="60"/>
              <w:rPr>
                <w:sz w:val="24"/>
                <w:szCs w:val="24"/>
              </w:rPr>
            </w:pPr>
            <w:r>
              <w:rPr>
                <w:sz w:val="24"/>
                <w:szCs w:val="24"/>
              </w:rPr>
              <w:t>WHO</w:t>
            </w:r>
          </w:p>
        </w:tc>
        <w:tc>
          <w:tcPr>
            <w:tcW w:w="7735" w:type="dxa"/>
          </w:tcPr>
          <w:p w14:paraId="00000098" w14:textId="77777777" w:rsidR="009F1887" w:rsidRDefault="00790D5B">
            <w:pPr>
              <w:spacing w:before="60" w:after="60"/>
              <w:rPr>
                <w:sz w:val="24"/>
                <w:szCs w:val="24"/>
              </w:rPr>
            </w:pPr>
            <w:r>
              <w:rPr>
                <w:sz w:val="24"/>
                <w:szCs w:val="24"/>
              </w:rPr>
              <w:t>World Health Organization</w:t>
            </w:r>
          </w:p>
        </w:tc>
      </w:tr>
    </w:tbl>
    <w:p w14:paraId="00000099" w14:textId="77777777" w:rsidR="009F1887" w:rsidRDefault="009F1887">
      <w:pPr>
        <w:keepNext/>
        <w:keepLines/>
        <w:pBdr>
          <w:top w:val="nil"/>
          <w:left w:val="nil"/>
          <w:bottom w:val="nil"/>
          <w:right w:val="nil"/>
          <w:between w:val="nil"/>
        </w:pBdr>
        <w:spacing w:after="240" w:line="240" w:lineRule="auto"/>
        <w:jc w:val="center"/>
        <w:rPr>
          <w:rFonts w:ascii="Times" w:eastAsia="Times" w:hAnsi="Times" w:cs="Times"/>
          <w:b/>
          <w:smallCaps/>
          <w:color w:val="000000"/>
          <w:sz w:val="28"/>
          <w:szCs w:val="28"/>
        </w:rPr>
      </w:pPr>
    </w:p>
    <w:p w14:paraId="0000009A" w14:textId="77777777" w:rsidR="009F1887" w:rsidRDefault="00790D5B">
      <w:pPr>
        <w:rPr>
          <w:rFonts w:ascii="Times" w:eastAsia="Times" w:hAnsi="Times" w:cs="Times"/>
          <w:b/>
          <w:smallCaps/>
          <w:sz w:val="28"/>
          <w:szCs w:val="28"/>
        </w:rPr>
      </w:pPr>
      <w:r>
        <w:br w:type="page"/>
      </w:r>
    </w:p>
    <w:p w14:paraId="0000009B" w14:textId="77777777" w:rsidR="009F1887" w:rsidRDefault="00790D5B">
      <w:pPr>
        <w:pStyle w:val="Heading2"/>
        <w:numPr>
          <w:ilvl w:val="0"/>
          <w:numId w:val="66"/>
        </w:numPr>
        <w:ind w:left="270"/>
      </w:pPr>
      <w:bookmarkStart w:id="21" w:name="_heading=h.30j0zll" w:colFirst="0" w:colLast="0"/>
      <w:bookmarkEnd w:id="21"/>
      <w:r>
        <w:lastRenderedPageBreak/>
        <w:t>Introduction and Background</w:t>
      </w:r>
    </w:p>
    <w:p w14:paraId="0000009C" w14:textId="77777777" w:rsidR="009F1887" w:rsidRDefault="00790D5B">
      <w:pPr>
        <w:spacing w:before="240" w:after="240"/>
        <w:ind w:left="180"/>
        <w:jc w:val="both"/>
        <w:rPr>
          <w:rFonts w:ascii="Times New Roman" w:eastAsia="Times New Roman" w:hAnsi="Times New Roman" w:cs="Times New Roman"/>
        </w:rPr>
      </w:pPr>
      <w:r>
        <w:rPr>
          <w:rFonts w:ascii="Times New Roman" w:eastAsia="Times New Roman" w:hAnsi="Times New Roman" w:cs="Times New Roman"/>
        </w:rPr>
        <w:t xml:space="preserve">An outbreak of COVID-19, caused by the 2019 novel COVID-19 (SARS-CoV-2), has been spreading rapidly across the world since December 2019, when the initial cases were diagnosed in Wuhan, Hubei Province, China. On March 11, 2020, the World Health Organization (WHO) declared a global pandemic. The first cases of the COVID-19 in Georgia were confirmed on February 26, 2020 and the state of emergency was declared on March 21, 2020. It implied closure of all educational institutions and many public venues, such as gyms, museums, theaters, shopping malls, bars and restaurants. Strict transportation restrictions were introduced, including the suspension of air and rail traffic, as well as border closures with neighboring Armenia, Azerbaijan, and Russia. Additional quarantine measures have followed, including curfew from 9:00 pm to 6:00 am; prohibition of meetings of more than 10 people, public events and other mass events, schools and universities shift to online and distance-learning methods. The Government decided to make all medical care related to COVID-19 free of charge, regardless of whether patients have medical insurance. </w:t>
      </w:r>
    </w:p>
    <w:p w14:paraId="0000009D" w14:textId="77777777" w:rsidR="009F1887" w:rsidRDefault="00790D5B">
      <w:pPr>
        <w:spacing w:after="240"/>
        <w:ind w:left="180"/>
        <w:jc w:val="both"/>
        <w:rPr>
          <w:rFonts w:ascii="Times New Roman" w:eastAsia="Times New Roman" w:hAnsi="Times New Roman" w:cs="Times New Roman"/>
        </w:rPr>
      </w:pPr>
      <w:r>
        <w:rPr>
          <w:rFonts w:ascii="Times New Roman" w:eastAsia="Times New Roman" w:hAnsi="Times New Roman" w:cs="Times New Roman"/>
        </w:rPr>
        <w:t>Measures undertaken to manage spread of disease in Georgia have proven effective, as the country demonstrates the lowest number of COVID-19 cases as well as the lowest incidence of death from the virus in the South Caucasus and is one of the best performers worldwide. Based on the epidemiologic data and medical advice, imposed gradual release of restrictions started in May 2020 and continue thereafter. State of emergency and curfew were lifted on May 23, 2020.</w:t>
      </w:r>
    </w:p>
    <w:p w14:paraId="0000009E" w14:textId="77777777" w:rsidR="009F1887" w:rsidRDefault="00790D5B">
      <w:pPr>
        <w:spacing w:after="240"/>
        <w:ind w:left="187"/>
        <w:jc w:val="both"/>
        <w:rPr>
          <w:rFonts w:ascii="Times New Roman" w:eastAsia="Times New Roman" w:hAnsi="Times New Roman" w:cs="Times New Roman"/>
        </w:rPr>
      </w:pPr>
      <w:r>
        <w:rPr>
          <w:rFonts w:ascii="Times New Roman" w:eastAsia="Times New Roman" w:hAnsi="Times New Roman" w:cs="Times New Roman"/>
        </w:rPr>
        <w:t>COVID-19 poses serious social and economic challenges to the country and represents a severe risk of losing important gains in the fight against poverty.</w:t>
      </w:r>
      <w:r>
        <w:rPr>
          <w:rFonts w:ascii="Times New Roman" w:eastAsia="Times New Roman" w:hAnsi="Times New Roman" w:cs="Times New Roman"/>
          <w:b/>
        </w:rPr>
        <w:t xml:space="preserve"> </w:t>
      </w:r>
      <w:r>
        <w:rPr>
          <w:rFonts w:ascii="Times New Roman" w:eastAsia="Times New Roman" w:hAnsi="Times New Roman" w:cs="Times New Roman"/>
        </w:rPr>
        <w:t>The lockdown and closure of all non-essential business activities slowed down the production, increased layoffs, reduced labor income - especially for private sector workers - with significant adverse impacts on employment and poverty. Economic activities, particularly in the tourism and hospitality sectors, have come to a standstill. Government of Georgia developed an anti-crisis package to assist private businesses and individuals, to be implemented in two stages. The first stage, involving emergency assistance, started in March 2020 and the second stage was kicked off in April to facilitate recovery. First stage actions included absorption of citizens’ utility bills by the government for those customers whose monthly consumption of power was less than 200 kW and that of the natural gas below 200m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State control against price rise for nine staple food products; and provision of three months’ long credit deferral to debtors by the commercial banks. Second stage interventions include payments to laid off workers and various categories of self-employed persons, various tax breaks to employers to keep jobs available as well as Targeted Social Assistance (TSA) to pensioners and other vulnerable groups.   </w:t>
      </w:r>
    </w:p>
    <w:p w14:paraId="0000009F" w14:textId="77777777" w:rsidR="009F1887" w:rsidRDefault="00790D5B">
      <w:pPr>
        <w:spacing w:after="240"/>
        <w:ind w:left="180"/>
        <w:jc w:val="both"/>
        <w:rPr>
          <w:rFonts w:ascii="Times New Roman" w:eastAsia="Times New Roman" w:hAnsi="Times New Roman" w:cs="Times New Roman"/>
        </w:rPr>
      </w:pPr>
      <w:r>
        <w:rPr>
          <w:rFonts w:ascii="Times New Roman" w:eastAsia="Times New Roman" w:hAnsi="Times New Roman" w:cs="Times New Roman"/>
        </w:rPr>
        <w:t>Several bilateral and multilateral donors extended support to Georgia in support to its healthcare and social welfare systems in the face of the pandemic. International Bank for Reconstruction and Development (IBRD) provided financing of US$80 million to Georgia under the global framework of the World Bank COVID-19 Response. Asian Infrastructure and Investment Bank (AIIB) allocated co-financing to this operation in the amount of US$100 million. The project became effective on May 28, 2020 and it is expected to complete in two years. Ministry of Internally Displaced Persons from the Occupied Territories, Labor, Health and Social Affairs of Georgia (MoILHSA) is the project implementing entity.</w:t>
      </w:r>
    </w:p>
    <w:p w14:paraId="000000A0"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Present Environmental and Social Management Framework (ESMF) is prepared to assist the MoILHSA with environmental and social management of Emergency COVID-19 Response Project following national regulations and the Environmental and Social Framework</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xml:space="preserve"> (ESF) of the World Bank. The ESMF provides guidelines for working out appropriate prevention and mitigation measures against adverse impacts that might result from project activities. The ESMF includes templates for producing Environmental and Social Management Plans (ESMPs) and Infection Control and Waste Management Plans (ICWMPs). The former aims to provide an overarching action plan for the management of environmental, social, health and safety (ESHS) issues associated with the rehabilitation and operation of health-care facilities in response to COVID-19. The latter focuses on proper infection control and medical waste management practices during operation of health-care facilities. An ICWMP may be included as a part of an ESMP for specific activities. </w:t>
      </w:r>
    </w:p>
    <w:p w14:paraId="000000A1"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ESMF is one of several environmental and social instruments developed by MoILHSA for Emergency COVID-19 Response Project implementation purposes as required by the ESF. Others are the Stakeholder Engagement Plan (SEP) and Labor Management Procedures (LMP). LMP is included in the Annex of this ESMF. .  Taking into consideration the groups of stakeholders defined by SEP, a Grievance Redress Mechanism (GRM) will be developed for the Project, as recommended by this ESMF and the World Bank ESF.–Types of environmental and social instruments and timing of their development and implementation are defined in the Environmental and Social Commitment Plan (ESCP) formally agreed between the Government of Georgia and the World Bank. </w:t>
      </w:r>
    </w:p>
    <w:p w14:paraId="000000A2" w14:textId="77777777" w:rsidR="009F1887" w:rsidRDefault="00790D5B">
      <w:pPr>
        <w:pStyle w:val="Heading2"/>
        <w:numPr>
          <w:ilvl w:val="0"/>
          <w:numId w:val="66"/>
        </w:numPr>
      </w:pPr>
      <w:bookmarkStart w:id="22" w:name="_heading=h.1fob9te" w:colFirst="0" w:colLast="0"/>
      <w:bookmarkEnd w:id="22"/>
      <w:r>
        <w:t xml:space="preserve">Project Description </w:t>
      </w:r>
    </w:p>
    <w:p w14:paraId="000000A3" w14:textId="77777777" w:rsidR="009F1887" w:rsidRDefault="00790D5B">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Development Objective of the Georgia COVID-19 Response Project is to prevent, detect, and respond to the threat posed by the COVID-19 pandemic and strengthen national systems for public health preparedness in Georgia. COVID-19 Response Project comprises three components. </w:t>
      </w:r>
    </w:p>
    <w:p w14:paraId="000000A4"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rPr>
        <w:t>Component 1. Emergency COVID-19 Response</w:t>
      </w:r>
      <w:r>
        <w:rPr>
          <w:rFonts w:ascii="Times New Roman" w:eastAsia="Times New Roman" w:hAnsi="Times New Roman" w:cs="Times New Roman"/>
        </w:rPr>
        <w:t xml:space="preserve"> (EUR 29.1 million, US$ 31.9 million equivalent)</w:t>
      </w:r>
    </w:p>
    <w:p w14:paraId="000000A5"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u w:val="single"/>
        </w:rPr>
        <w:t>Subcomponent 1.1: Case Detection and Confirmation</w:t>
      </w:r>
    </w:p>
    <w:p w14:paraId="000000A6" w14:textId="77777777" w:rsidR="009F1887" w:rsidRDefault="00790D5B">
      <w:p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This subcomponent will support public health laboratories and epidemiological capacity for early detection and confirmation of cases. It will strengthen disease surveillance systems and the capacity of the selected public health laboratories to confirm cases by supplying medical supplies and equipment: Personal protective equipment (PPE) and hygiene materials, COVID-19 test kits, laboratory reagents, polymerase chain reaction (PCR) equipment, and specimen transport kits. With this intervention, Georgia’s testing capacity is expected to increase to 1,000-1,200 samples per day.</w:t>
      </w:r>
    </w:p>
    <w:p w14:paraId="000000A7" w14:textId="77777777" w:rsidR="009F1887" w:rsidRDefault="00790D5B">
      <w:pPr>
        <w:spacing w:after="240"/>
        <w:jc w:val="both"/>
        <w:rPr>
          <w:rFonts w:ascii="Times New Roman" w:eastAsia="Times New Roman" w:hAnsi="Times New Roman" w:cs="Times New Roman"/>
          <w:u w:val="single"/>
        </w:rPr>
      </w:pPr>
      <w:r>
        <w:rPr>
          <w:rFonts w:ascii="Times New Roman" w:eastAsia="Times New Roman" w:hAnsi="Times New Roman" w:cs="Times New Roman"/>
          <w:u w:val="single"/>
        </w:rPr>
        <w:t>Subcomponent 1.2: Health System Strengthening for Case Management</w:t>
      </w:r>
    </w:p>
    <w:p w14:paraId="000000A8"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Under this subcomponent, the Government will procure equipment, drugs, and medical supplies to strengthen the capacity of the selected public health facilities designated for COVID-19. This may include the procurement of intensive care unit (ICU) equipment (e.g. ventilators, patient monitors, bronchoscopes, etc.), equipment for non-critical care and operating rooms, hospital beds, etc. Minor repairs, such as </w:t>
      </w:r>
      <w:r>
        <w:rPr>
          <w:rFonts w:ascii="Times New Roman" w:eastAsia="Times New Roman" w:hAnsi="Times New Roman" w:cs="Times New Roman"/>
        </w:rPr>
        <w:lastRenderedPageBreak/>
        <w:t xml:space="preserve">remodeling ICUs and increasing the availability of isolation rooms and other capacity needs to improve service delivery for COVID-19 will also be supported. </w:t>
      </w:r>
    </w:p>
    <w:p w14:paraId="000000A9"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This subcomponent will also transfer funds directly to public and private facilities that are designated to receive COVID-19 patients to compensate them for idle capacity and ensure standby readiness to provide COVID-19 care. It will finance case management and treatment of COVID-19 patients in public and private facilities by supporting the reimbursement of claims by the SSA for COVID-19-related services. To ensure sustainability, consulting services to revise the payment methods for health care services, including setting tariffs for COVID-19 will also be supported. Funding will be provided for case management of non-severe cases in nonmedical settings (e.g., hotels temporarily rented for this purpose) for individuals who cannot self-isolate at home, and ambulances to ensure urgent transportation of patients across the hospital network to designated reference facilities. </w:t>
      </w:r>
    </w:p>
    <w:p w14:paraId="000000AA" w14:textId="77777777" w:rsidR="009F1887" w:rsidRDefault="00790D5B">
      <w:pPr>
        <w:spacing w:after="240"/>
        <w:jc w:val="both"/>
        <w:rPr>
          <w:rFonts w:ascii="Times New Roman" w:eastAsia="Times New Roman" w:hAnsi="Times New Roman" w:cs="Times New Roman"/>
          <w:b/>
        </w:rPr>
      </w:pPr>
      <w:r>
        <w:rPr>
          <w:rFonts w:ascii="Times New Roman" w:eastAsia="Times New Roman" w:hAnsi="Times New Roman" w:cs="Times New Roman"/>
          <w:b/>
        </w:rPr>
        <w:t>Component 2. Enabling Health Measures to Contain the COVID-19 Outbreak through Temporary Income Support for Poor Households and Vulnerable Individuals (EUR 43.7 million, US$ 47.8 million equivalent)</w:t>
      </w:r>
    </w:p>
    <w:p w14:paraId="000000AB" w14:textId="77777777" w:rsidR="009F1887" w:rsidRDefault="00790D5B">
      <w:pPr>
        <w:spacing w:after="240"/>
        <w:jc w:val="both"/>
        <w:rPr>
          <w:rFonts w:ascii="Times New Roman" w:eastAsia="Times New Roman" w:hAnsi="Times New Roman" w:cs="Times New Roman"/>
          <w:u w:val="single"/>
        </w:rPr>
      </w:pPr>
      <w:r>
        <w:rPr>
          <w:rFonts w:ascii="Times New Roman" w:eastAsia="Times New Roman" w:hAnsi="Times New Roman" w:cs="Times New Roman"/>
          <w:u w:val="single"/>
        </w:rPr>
        <w:t>Subcomponent 2.1: Cash Transfers to Poor and Vulnerable Households</w:t>
      </w:r>
    </w:p>
    <w:p w14:paraId="000000AC"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This subcomponent will assist households that are negatively affected by the health measures adopted to contain the outbreak and the resulting economic downturn</w:t>
      </w:r>
      <w:r>
        <w:rPr>
          <w:rFonts w:ascii="Times New Roman" w:eastAsia="Times New Roman" w:hAnsi="Times New Roman" w:cs="Times New Roman"/>
          <w:b/>
        </w:rPr>
        <w:t xml:space="preserve"> </w:t>
      </w:r>
      <w:r>
        <w:rPr>
          <w:rFonts w:ascii="Times New Roman" w:eastAsia="Times New Roman" w:hAnsi="Times New Roman" w:cs="Times New Roman"/>
        </w:rPr>
        <w:t>by supporting: (a) the scale-up of the TSA program for extremely poor households; (b) a new temporary cash benefit for vulnerable households; and (c) a top-up benefit for households with more than three children.</w:t>
      </w:r>
    </w:p>
    <w:p w14:paraId="000000AD" w14:textId="77777777" w:rsidR="009F1887" w:rsidRDefault="00790D5B">
      <w:pPr>
        <w:spacing w:after="240"/>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Subcomponent 2.2: Temporary Unemployment Assistance for Individuals who Lose their Job because of the COVID-19 Outbreak </w:t>
      </w:r>
    </w:p>
    <w:p w14:paraId="000000AE"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This subcomponent will finance temporary unemployment assistance benefit for private sector formal wage workers. The temporary unemployment assistance benefit will consist of a flat benefit of 200 GEL per month provided to formal wage workers in private companies who are laid off as a result of COVID-related restrictions and the economic lockdown of nonessential businesses. This subcomponent will also support the introduction of a one-off benefit targeted to self-employed and informal workers who lost their job because of the economic downturn resulting from the measures adopted to contain the outbreak. The one-off benefit will be provided on demand to individuals who do not have any source of declared income, as verified through the tax income payroll database of the Revenue Service and are not beneficiaries of public social assistance.</w:t>
      </w:r>
    </w:p>
    <w:p w14:paraId="000000AF" w14:textId="77777777" w:rsidR="009F1887" w:rsidRDefault="00790D5B">
      <w:pPr>
        <w:spacing w:after="240"/>
        <w:jc w:val="both"/>
        <w:rPr>
          <w:rFonts w:ascii="Times New Roman" w:eastAsia="Times New Roman" w:hAnsi="Times New Roman" w:cs="Times New Roman"/>
          <w:b/>
        </w:rPr>
      </w:pPr>
      <w:r>
        <w:rPr>
          <w:rFonts w:ascii="Times New Roman" w:eastAsia="Times New Roman" w:hAnsi="Times New Roman" w:cs="Times New Roman"/>
          <w:b/>
        </w:rPr>
        <w:t>Component 3. Project Management and Monitoring</w:t>
      </w:r>
    </w:p>
    <w:p w14:paraId="000000B0"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This component will support overall administration of the project, including procurement, financial management (FM), environmental and social management, regular monitoring and reporting on project implementation progress. A project implementation unit (PIU) will be established under the MoILHSA, composed of the in-house capacity of this ministry and other public agencies as well as external consultants to be financed from this component. </w:t>
      </w:r>
    </w:p>
    <w:p w14:paraId="000000B1" w14:textId="77777777" w:rsidR="009F1887" w:rsidRDefault="00790D5B">
      <w:pPr>
        <w:pStyle w:val="Heading2"/>
        <w:numPr>
          <w:ilvl w:val="0"/>
          <w:numId w:val="66"/>
        </w:numPr>
      </w:pPr>
      <w:bookmarkStart w:id="23" w:name="_heading=h.3znysh7" w:colFirst="0" w:colLast="0"/>
      <w:bookmarkEnd w:id="23"/>
      <w:r>
        <w:lastRenderedPageBreak/>
        <w:t>Environmental and Social Risks of the Project</w:t>
      </w:r>
    </w:p>
    <w:p w14:paraId="000000B2" w14:textId="77777777" w:rsidR="009F1887" w:rsidRDefault="00790D5B">
      <w:pPr>
        <w:tabs>
          <w:tab w:val="left" w:pos="0"/>
        </w:tabs>
        <w:spacing w:before="240" w:after="240"/>
        <w:jc w:val="both"/>
        <w:rPr>
          <w:rFonts w:ascii="Times New Roman" w:eastAsia="Times New Roman" w:hAnsi="Times New Roman" w:cs="Times New Roman"/>
        </w:rPr>
      </w:pPr>
      <w:r>
        <w:rPr>
          <w:rFonts w:ascii="Times New Roman" w:eastAsia="Times New Roman" w:hAnsi="Times New Roman" w:cs="Times New Roman"/>
        </w:rPr>
        <w:t>The project was prepared under the World Bank’s Environment and Social Framework (ESF). An Environmental Risk Rating</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is "Substantial" and a Social Risk Rating is “Substantial” resulting in an overall Substantial Risk Rating. The key  types of risks associated with the project are related to: (i) rehabilitation of the existing health-care facilities; (ii) procurement and installation of radiological medical equipment (iii) medical waste management and disposal; (iv) spread of the virus among health-care workers;  (v) spread of COVID-19 among the population at large; and (vi) potential for inequitable access to project supported facilities and services particularly for vulnerable and high-risk social groups (poor, disabled, elderly, isolated groups) and exclusion from the social protection measures.. The following Environmental and Social Standards (ESS) of the World Bank were found relevant for addressing these risks: ESS 1, ESS 2, ESS 3, ESS 4, and ESS 10. </w:t>
      </w:r>
    </w:p>
    <w:p w14:paraId="000000B3" w14:textId="77777777" w:rsidR="009F1887" w:rsidRDefault="00790D5B">
      <w:pPr>
        <w:tabs>
          <w:tab w:val="left" w:pos="0"/>
        </w:tabs>
        <w:spacing w:after="240"/>
        <w:jc w:val="both"/>
        <w:rPr>
          <w:rFonts w:ascii="Times New Roman" w:eastAsia="Times New Roman" w:hAnsi="Times New Roman" w:cs="Times New Roman"/>
        </w:rPr>
      </w:pPr>
      <w:r>
        <w:rPr>
          <w:rFonts w:ascii="Times New Roman" w:eastAsia="Times New Roman" w:hAnsi="Times New Roman" w:cs="Times New Roman"/>
        </w:rPr>
        <w:t>Physical works under COVID-19 Emergency Project will be confined to the small works such as rehabilitation, renovation, refurbishment, and retrofitting of the existing buildings. No new construction or extension of healthcare or waste management facilities will be financed. Neither will the project involve acquisition of existing public or private facilities.</w:t>
      </w:r>
      <w:r>
        <w:t xml:space="preserve"> </w:t>
      </w:r>
      <w:r>
        <w:rPr>
          <w:rFonts w:ascii="Times New Roman" w:eastAsia="Times New Roman" w:hAnsi="Times New Roman" w:cs="Times New Roman"/>
        </w:rPr>
        <w:t xml:space="preserve">Project activities will not involve land acquisition, physical or economic displacement, or restriction of access to private land and other property. </w:t>
      </w:r>
    </w:p>
    <w:p w14:paraId="000000B4" w14:textId="77777777" w:rsidR="009F1887" w:rsidRDefault="00790D5B">
      <w:pPr>
        <w:tabs>
          <w:tab w:val="left" w:pos="0"/>
        </w:tabs>
        <w:spacing w:after="240"/>
        <w:jc w:val="both"/>
        <w:rPr>
          <w:rFonts w:ascii="Times New Roman" w:eastAsia="Times New Roman" w:hAnsi="Times New Roman" w:cs="Times New Roman"/>
        </w:rPr>
      </w:pPr>
      <w:r>
        <w:rPr>
          <w:rFonts w:ascii="Times New Roman" w:eastAsia="Times New Roman" w:hAnsi="Times New Roman" w:cs="Times New Roman"/>
        </w:rPr>
        <w:t xml:space="preserve">Project activities will be undertaken by civil servants of MoILHSA and other state agencies, consultants hired by MoILHSA, healthcare workers and workers contracted for the delivery of civil works. Staff of the medical institutions will be at risk of contracting infection while in wards of clinics treating COVID-19 cases and laboratories. Other project workers may also be exposed to the risk of infection. Construction workers will face modest occupational health and safety hazards typical for small-scale works. It is expected that </w:t>
      </w:r>
      <w:sdt>
        <w:sdtPr>
          <w:tag w:val="goog_rdk_24"/>
          <w:id w:val="436803087"/>
        </w:sdtPr>
        <w:sdtContent>
          <w:commentRangeStart w:id="25"/>
        </w:sdtContent>
      </w:sdt>
      <w:sdt>
        <w:sdtPr>
          <w:tag w:val="goog_rdk_25"/>
          <w:id w:val="-1805223946"/>
        </w:sdtPr>
        <w:sdtContent>
          <w:commentRangeStart w:id="26"/>
        </w:sdtContent>
      </w:sdt>
      <w:r>
        <w:rPr>
          <w:rFonts w:ascii="Times New Roman" w:eastAsia="Times New Roman" w:hAnsi="Times New Roman" w:cs="Times New Roman"/>
        </w:rPr>
        <w:t>local construction companies will be selected for the rehabilitation works</w:t>
      </w:r>
      <w:commentRangeEnd w:id="25"/>
      <w:r>
        <w:commentReference w:id="25"/>
      </w:r>
      <w:commentRangeEnd w:id="26"/>
      <w:r>
        <w:commentReference w:id="26"/>
      </w:r>
      <w:r>
        <w:rPr>
          <w:rFonts w:ascii="Times New Roman" w:eastAsia="Times New Roman" w:hAnsi="Times New Roman" w:cs="Times New Roman"/>
        </w:rPr>
        <w:t xml:space="preserve">. No large numbers of workers will be required at any individual work site. Influx of labor is not expected.  </w:t>
      </w:r>
    </w:p>
    <w:p w14:paraId="000000B5" w14:textId="77777777" w:rsidR="009F1887" w:rsidRDefault="00790D5B">
      <w:pPr>
        <w:tabs>
          <w:tab w:val="left" w:pos="0"/>
        </w:tabs>
        <w:spacing w:after="240"/>
        <w:jc w:val="both"/>
        <w:rPr>
          <w:rFonts w:ascii="Times New Roman" w:eastAsia="Times New Roman" w:hAnsi="Times New Roman" w:cs="Times New Roman"/>
        </w:rPr>
      </w:pPr>
      <w:r>
        <w:rPr>
          <w:rFonts w:ascii="Times New Roman" w:eastAsia="Times New Roman" w:hAnsi="Times New Roman" w:cs="Times New Roman"/>
        </w:rPr>
        <w:t xml:space="preserve">Delivery of minor interior works, equipment, PPE, test kits and other goods is planned for the selected hospitals, medical laboratories, screening posts, quarantine and isolation centers, infection treatment centers, ICUs and assisted living facilities. Technical specifications of equipment and PPE as well as designs for installation of ICUs and other specialized facilities will strictly follow WHO guidance and other relevant Good International Industry Practice (GIIP). </w:t>
      </w:r>
    </w:p>
    <w:p w14:paraId="000000B6" w14:textId="77777777" w:rsidR="009F1887" w:rsidRDefault="00790D5B">
      <w:pPr>
        <w:tabs>
          <w:tab w:val="left" w:pos="0"/>
        </w:tabs>
        <w:spacing w:after="240"/>
        <w:jc w:val="both"/>
        <w:rPr>
          <w:rFonts w:ascii="Times New Roman" w:eastAsia="Times New Roman" w:hAnsi="Times New Roman" w:cs="Times New Roman"/>
        </w:rPr>
      </w:pPr>
      <w:r>
        <w:rPr>
          <w:rFonts w:ascii="Times New Roman" w:eastAsia="Times New Roman" w:hAnsi="Times New Roman" w:cs="Times New Roman"/>
        </w:rPr>
        <w:t xml:space="preserve">The project will not invest into medical waste management systems and infrastructure. However, clinics benefiting from rehabilitation works and delivery of equipment provided by the project will be assisted in the improvement of their infection control and waste management practices as required. Hospital waste separation, on-site collection, removal and treatment is subject to national regulations, though their implementation is challenging. Several medical facilities operate their own incinerators and autoclaves, but their capacity is insufficient. No municipal incinerators exist for medical waste. There are only few private companies providing this service to medical facilities, but their operation does not meet neither the </w:t>
      </w:r>
      <w:r>
        <w:rPr>
          <w:rFonts w:ascii="Times New Roman" w:eastAsia="Times New Roman" w:hAnsi="Times New Roman" w:cs="Times New Roman"/>
        </w:rPr>
        <w:lastRenderedPageBreak/>
        <w:t>requirements of the EU directive</w:t>
      </w:r>
      <w:sdt>
        <w:sdtPr>
          <w:tag w:val="goog_rdk_26"/>
          <w:id w:val="1107782739"/>
        </w:sdtPr>
        <w:sdtContent>
          <w:ins w:id="27" w:author="Giorgi Kobaladze" w:date="2020-07-17T06:14:00Z">
            <w:r>
              <w:rPr>
                <w:rFonts w:ascii="Times New Roman" w:eastAsia="Times New Roman" w:hAnsi="Times New Roman" w:cs="Times New Roman"/>
              </w:rPr>
              <w:t xml:space="preserve"> 2000/76/EC</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w:t>
            </w:r>
          </w:ins>
        </w:sdtContent>
      </w:sdt>
      <w:r>
        <w:rPr>
          <w:rFonts w:ascii="Times New Roman" w:eastAsia="Times New Roman" w:hAnsi="Times New Roman" w:cs="Times New Roman"/>
        </w:rPr>
        <w:t xml:space="preserve"> on</w:t>
      </w:r>
      <w:sdt>
        <w:sdtPr>
          <w:tag w:val="goog_rdk_27"/>
          <w:id w:val="174856047"/>
        </w:sdtPr>
        <w:sdtContent>
          <w:r>
            <w:rPr>
              <w:rFonts w:ascii="Times New Roman" w:eastAsia="Times New Roman" w:hAnsi="Times New Roman" w:cs="Times New Roman"/>
              <w:shd w:val="clear" w:color="auto" w:fill="FEFEFE"/>
              <w:rPrChange w:id="30" w:author="Giorgi Kobaladze" w:date="2020-07-17T06:17:00Z">
                <w:rPr>
                  <w:rFonts w:ascii="Times New Roman" w:eastAsia="Times New Roman" w:hAnsi="Times New Roman" w:cs="Times New Roman"/>
                </w:rPr>
              </w:rPrChange>
            </w:rPr>
            <w:t xml:space="preserve"> </w:t>
          </w:r>
        </w:sdtContent>
      </w:sdt>
      <w:sdt>
        <w:sdtPr>
          <w:tag w:val="goog_rdk_28"/>
          <w:id w:val="1202062827"/>
        </w:sdtPr>
        <w:sdtContent>
          <w:sdt>
            <w:sdtPr>
              <w:tag w:val="goog_rdk_29"/>
              <w:id w:val="1404412202"/>
            </w:sdtPr>
            <w:sdtContent>
              <w:ins w:id="31" w:author="Giorgi Kobaladze" w:date="2020-07-17T06:14:00Z">
                <w:r>
                  <w:rPr>
                    <w:rFonts w:ascii="Times New Roman" w:eastAsia="Times New Roman" w:hAnsi="Times New Roman" w:cs="Times New Roman"/>
                    <w:shd w:val="clear" w:color="auto" w:fill="FEFEFE"/>
                    <w:rPrChange w:id="32" w:author="Giorgi Kobaladze" w:date="2020-07-17T06:17:00Z">
                      <w:rPr>
                        <w:rFonts w:ascii="Times New Roman" w:eastAsia="Times New Roman" w:hAnsi="Times New Roman" w:cs="Times New Roman"/>
                      </w:rPr>
                    </w:rPrChange>
                  </w:rPr>
                  <w:t xml:space="preserve">the </w:t>
                </w:r>
              </w:ins>
            </w:sdtContent>
          </w:sdt>
          <w:customXmlInsRangeStart w:id="33" w:author="Giorgi Kobaladze" w:date="2020-07-17T06:14:00Z"/>
          <w:sdt>
            <w:sdtPr>
              <w:tag w:val="goog_rdk_30"/>
              <w:id w:val="755628933"/>
            </w:sdtPr>
            <w:sdtContent>
              <w:customXmlInsRangeEnd w:id="33"/>
              <w:ins w:id="34" w:author="Giorgi Kobaladze" w:date="2020-07-17T06:14:00Z">
                <w:r>
                  <w:rPr>
                    <w:rFonts w:ascii="Times New Roman" w:eastAsia="Times New Roman" w:hAnsi="Times New Roman" w:cs="Times New Roman"/>
                    <w:shd w:val="clear" w:color="auto" w:fill="FEFEFE"/>
                    <w:rPrChange w:id="35" w:author="Giorgi Kobaladze" w:date="2020-07-17T06:17:00Z">
                      <w:rPr>
                        <w:rFonts w:ascii="Times New Roman" w:eastAsia="Times New Roman" w:hAnsi="Times New Roman" w:cs="Times New Roman"/>
                      </w:rPr>
                    </w:rPrChange>
                  </w:rPr>
                  <w:t>incineration</w:t>
                </w:r>
              </w:ins>
              <w:customXmlInsRangeStart w:id="36" w:author="Giorgi Kobaladze" w:date="2020-07-17T06:14:00Z"/>
            </w:sdtContent>
          </w:sdt>
          <w:customXmlInsRangeEnd w:id="36"/>
          <w:customXmlInsRangeStart w:id="37" w:author="Giorgi Kobaladze" w:date="2020-07-17T06:14:00Z"/>
          <w:sdt>
            <w:sdtPr>
              <w:tag w:val="goog_rdk_31"/>
              <w:id w:val="-2125682222"/>
            </w:sdtPr>
            <w:sdtContent>
              <w:customXmlInsRangeEnd w:id="37"/>
              <w:ins w:id="38" w:author="Giorgi Kobaladze" w:date="2020-07-17T06:14:00Z">
                <w:r>
                  <w:rPr>
                    <w:rFonts w:ascii="Times New Roman" w:eastAsia="Times New Roman" w:hAnsi="Times New Roman" w:cs="Times New Roman"/>
                    <w:shd w:val="clear" w:color="auto" w:fill="FEFEFE"/>
                    <w:rPrChange w:id="39" w:author="Giorgi Kobaladze" w:date="2020-07-17T06:17:00Z">
                      <w:rPr>
                        <w:rFonts w:ascii="Times New Roman" w:eastAsia="Times New Roman" w:hAnsi="Times New Roman" w:cs="Times New Roman"/>
                      </w:rPr>
                    </w:rPrChange>
                  </w:rPr>
                  <w:t xml:space="preserve"> of waste</w:t>
                </w:r>
              </w:ins>
              <w:customXmlInsRangeStart w:id="40" w:author="Giorgi Kobaladze" w:date="2020-07-17T06:14:00Z"/>
            </w:sdtContent>
          </w:sdt>
          <w:customXmlInsRangeEnd w:id="40"/>
        </w:sdtContent>
      </w:sdt>
      <w:sdt>
        <w:sdtPr>
          <w:tag w:val="goog_rdk_32"/>
          <w:id w:val="529838002"/>
        </w:sdtPr>
        <w:sdtContent>
          <w:sdt>
            <w:sdtPr>
              <w:tag w:val="goog_rdk_33"/>
              <w:id w:val="1349069352"/>
            </w:sdtPr>
            <w:sdtContent>
              <w:commentRangeStart w:id="41"/>
            </w:sdtContent>
          </w:sdt>
          <w:customXmlDelRangeStart w:id="42" w:author="Giorgi Kobaladze" w:date="2020-07-17T06:14:00Z"/>
          <w:sdt>
            <w:sdtPr>
              <w:tag w:val="goog_rdk_34"/>
              <w:id w:val="-2041036219"/>
            </w:sdtPr>
            <w:sdtContent>
              <w:customXmlDelRangeEnd w:id="42"/>
              <w:del w:id="43" w:author="Giorgi Kobaladze" w:date="2020-07-17T06:14:00Z">
                <w:r>
                  <w:rPr>
                    <w:rFonts w:ascii="Times New Roman" w:eastAsia="Times New Roman" w:hAnsi="Times New Roman" w:cs="Times New Roman"/>
                    <w:shd w:val="clear" w:color="auto" w:fill="FEFEFE"/>
                    <w:rPrChange w:id="44" w:author="Giorgi Kobaladze" w:date="2020-07-17T06:17:00Z">
                      <w:rPr>
                        <w:rFonts w:ascii="Times New Roman" w:eastAsia="Times New Roman" w:hAnsi="Times New Roman" w:cs="Times New Roman"/>
                      </w:rPr>
                    </w:rPrChange>
                  </w:rPr>
                  <w:delText>XXX</w:delText>
                </w:r>
              </w:del>
              <w:customXmlDelRangeStart w:id="45" w:author="Giorgi Kobaladze" w:date="2020-07-17T06:14:00Z"/>
            </w:sdtContent>
          </w:sdt>
          <w:customXmlDelRangeEnd w:id="45"/>
          <w:commentRangeEnd w:id="41"/>
          <w:del w:id="46" w:author="Giorgi Kobaladze" w:date="2020-07-17T06:14:00Z">
            <w:r>
              <w:commentReference w:id="41"/>
            </w:r>
          </w:del>
          <w:customXmlDelRangeStart w:id="47" w:author="Giorgi Kobaladze" w:date="2020-07-17T06:14:00Z"/>
          <w:sdt>
            <w:sdtPr>
              <w:tag w:val="goog_rdk_35"/>
              <w:id w:val="151571860"/>
            </w:sdtPr>
            <w:sdtContent>
              <w:customXmlDelRangeEnd w:id="47"/>
              <w:del w:id="48" w:author="Giorgi Kobaladze" w:date="2020-07-17T06:14:00Z">
                <w:r>
                  <w:rPr>
                    <w:rFonts w:ascii="Times New Roman" w:eastAsia="Times New Roman" w:hAnsi="Times New Roman" w:cs="Times New Roman"/>
                    <w:shd w:val="clear" w:color="auto" w:fill="FEFEFE"/>
                    <w:rPrChange w:id="49" w:author="Giorgi Kobaladze" w:date="2020-07-17T06:17:00Z">
                      <w:rPr>
                        <w:rFonts w:ascii="Times New Roman" w:eastAsia="Times New Roman" w:hAnsi="Times New Roman" w:cs="Times New Roman"/>
                      </w:rPr>
                    </w:rPrChange>
                  </w:rPr>
                  <w:delText xml:space="preserve"> </w:delText>
                </w:r>
              </w:del>
              <w:customXmlDelRangeStart w:id="50" w:author="Giorgi Kobaladze" w:date="2020-07-17T06:14:00Z"/>
            </w:sdtContent>
          </w:sdt>
          <w:customXmlDelRangeEnd w:id="50"/>
        </w:sdtContent>
      </w:sdt>
      <w:sdt>
        <w:sdtPr>
          <w:tag w:val="goog_rdk_36"/>
          <w:id w:val="-1283958117"/>
        </w:sdtPr>
        <w:sdtContent>
          <w:sdt>
            <w:sdtPr>
              <w:tag w:val="goog_rdk_37"/>
              <w:id w:val="-1655990498"/>
            </w:sdtPr>
            <w:sdtContent>
              <w:ins w:id="51" w:author="Giorgi Kobaladze" w:date="2020-07-17T06:14:00Z">
                <w:r>
                  <w:rPr>
                    <w:rFonts w:ascii="Times New Roman" w:eastAsia="Times New Roman" w:hAnsi="Times New Roman" w:cs="Times New Roman"/>
                    <w:shd w:val="clear" w:color="auto" w:fill="FEFEFE"/>
                    <w:rPrChange w:id="52" w:author="Giorgi Kobaladze" w:date="2020-07-17T06:17:00Z">
                      <w:rPr>
                        <w:rFonts w:ascii="Times New Roman" w:eastAsia="Times New Roman" w:hAnsi="Times New Roman" w:cs="Times New Roman"/>
                      </w:rPr>
                    </w:rPrChange>
                  </w:rPr>
                  <w:t xml:space="preserve"> </w:t>
                </w:r>
              </w:ins>
            </w:sdtContent>
          </w:sdt>
        </w:sdtContent>
      </w:sdt>
      <w:sdt>
        <w:sdtPr>
          <w:tag w:val="goog_rdk_38"/>
          <w:id w:val="842828274"/>
        </w:sdtPr>
        <w:sdtContent>
          <w:r>
            <w:rPr>
              <w:rFonts w:ascii="Times New Roman" w:eastAsia="Times New Roman" w:hAnsi="Times New Roman" w:cs="Times New Roman"/>
              <w:shd w:val="clear" w:color="auto" w:fill="FEFEFE"/>
              <w:rPrChange w:id="53" w:author="Giorgi Kobaladze" w:date="2020-07-17T06:17:00Z">
                <w:rPr>
                  <w:rFonts w:ascii="Times New Roman" w:eastAsia="Times New Roman" w:hAnsi="Times New Roman" w:cs="Times New Roman"/>
                </w:rPr>
              </w:rPrChange>
            </w:rPr>
            <w:t>no</w:t>
          </w:r>
        </w:sdtContent>
      </w:sdt>
      <w:sdt>
        <w:sdtPr>
          <w:tag w:val="goog_rdk_39"/>
          <w:id w:val="2014175464"/>
        </w:sdtPr>
        <w:sdtContent>
          <w:r>
            <w:rPr>
              <w:rFonts w:ascii="Times New Roman" w:eastAsia="Times New Roman" w:hAnsi="Times New Roman" w:cs="Times New Roman"/>
            </w:rPr>
            <w:t>r</w:t>
          </w:r>
        </w:sdtContent>
      </w:sdt>
      <w:r>
        <w:rPr>
          <w:rFonts w:ascii="Times New Roman" w:eastAsia="Times New Roman" w:hAnsi="Times New Roman" w:cs="Times New Roman"/>
        </w:rPr>
        <w:t xml:space="preserve"> WHO guidelines.</w:t>
      </w:r>
      <w:sdt>
        <w:sdtPr>
          <w:tag w:val="goog_rdk_40"/>
          <w:id w:val="-1958319808"/>
        </w:sdtPr>
        <w:sdtContent>
          <w:commentRangeStart w:id="54"/>
        </w:sdtContent>
      </w:sdt>
      <w:r>
        <w:rPr>
          <w:rFonts w:ascii="Times New Roman" w:eastAsia="Times New Roman" w:hAnsi="Times New Roman" w:cs="Times New Roman"/>
        </w:rPr>
        <w:t xml:space="preserve"> Officially, hazardous medical waste may not be disposed at municipal landfills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in difference from the non-hazardous medical waste, however, due to shortage of capacity for incinerating/deactivating hazardous medical waste and lack of clarity in the regulatory definition of hazardous medical waste, part of it ends up at municipal landfills. </w:t>
      </w:r>
      <w:commentRangeEnd w:id="54"/>
      <w:r>
        <w:commentReference w:id="54"/>
      </w:r>
      <w:r>
        <w:rPr>
          <w:rFonts w:ascii="Times New Roman" w:eastAsia="Times New Roman" w:hAnsi="Times New Roman" w:cs="Times New Roman"/>
        </w:rPr>
        <w:t xml:space="preserve">Only few municipal landfills meet good international standards, while others are scheduled for closure and conservation as a network of waste disposal infrastructure is being built in the country at an affordable phase. </w:t>
      </w:r>
    </w:p>
    <w:p w14:paraId="000000B7"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The project implementation will not imply any transboundary movement of specimens, samples or any hazardous materials, but in-country movement will be supported by the provision of transportation means.</w:t>
      </w:r>
    </w:p>
    <w:p w14:paraId="000000B8"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In spring 2020, while spread of COVID-19 had been on rise in Georgia, special checkpoints were set up in Tbilisi, Batumi, Kutaisi, Rustavi, Poti, Zugdidi and Gori cities of the country to screen people and carry out better control of the situation. Police and military forces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were mobilized for this purpose. Isolation centers for quarantined people are also being guarded by the personnel of the Ministry of Internal Affairs. It is expected that the Police will continue to be deployed for the securing clinics, laboratories, quarantine centers and other facilities as required during COVID-19 pandemic. No abuse of power or other misconduct by servicemen has been recorded in regard to pandemic-related duties. Police officers are recruited and employed in line with the requirements of the General Administrative Code of Georgia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w:t>
      </w:r>
    </w:p>
    <w:p w14:paraId="000000B9"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Stakeholder engagement into the project implementation, including consultation on its environmental and social aspects, may be challenging because, in difference from commonly organized face-to-face discussions, alternative arrangements may be required to respect social distancing rules and other national regulations as well as WHO guidance effective at various times of the project life. </w:t>
      </w:r>
    </w:p>
    <w:p w14:paraId="000000BA"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Large volumes of personal data, personally identifiable information, and sensitive data are handled in connection with the management of the COVID-19 outbreak in Georgia. Measures to ensure the legitimate, appropriate, and proportionate use and processing of those data featured in the national legislation or data governance regulations may carry some shortfalls calling for additional effort to consistently apply information security management systems.  </w:t>
      </w:r>
    </w:p>
    <w:p w14:paraId="000000BB" w14:textId="77777777" w:rsidR="009F1887" w:rsidRDefault="00790D5B">
      <w:pPr>
        <w:pStyle w:val="Heading2"/>
        <w:numPr>
          <w:ilvl w:val="1"/>
          <w:numId w:val="66"/>
        </w:numPr>
        <w:rPr>
          <w:b w:val="0"/>
        </w:rPr>
      </w:pPr>
      <w:bookmarkStart w:id="56" w:name="_heading=h.2et92p0" w:colFirst="0" w:colLast="0"/>
      <w:bookmarkEnd w:id="56"/>
      <w:r>
        <w:rPr>
          <w:sz w:val="22"/>
          <w:szCs w:val="22"/>
        </w:rPr>
        <w:t>Environmental and Social Risks of Subprojects</w:t>
      </w:r>
    </w:p>
    <w:p w14:paraId="000000BC" w14:textId="77777777" w:rsidR="009F1887" w:rsidRDefault="00790D5B">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COVID-19 Emergency Project is designed to assist a number of healthcare facilities, not all of which have been identified by the time of project preparation. Furthermore, works to be undertaken In the selected clinics are not pre-designed; nor the sets of equipment and other goods required for individual clinics are fully known upfront. </w:t>
      </w:r>
      <w:sdt>
        <w:sdtPr>
          <w:tag w:val="goog_rdk_41"/>
          <w:id w:val="-1389485519"/>
        </w:sdtPr>
        <w:sdtContent>
          <w:customXmlInsRangeStart w:id="57" w:author="Author" w:date="2020-07-15T05:14:00Z"/>
          <w:sdt>
            <w:sdtPr>
              <w:tag w:val="goog_rdk_42"/>
              <w:id w:val="-1648119460"/>
            </w:sdtPr>
            <w:sdtContent>
              <w:customXmlInsRangeEnd w:id="57"/>
              <w:ins w:id="58" w:author="Author" w:date="2020-07-15T05:14:00Z">
                <w:del w:id="59" w:author="Author" w:date="2020-07-15T05:14:00Z">
                  <w:r>
                    <w:rPr>
                      <w:rFonts w:ascii="Times New Roman" w:eastAsia="Times New Roman" w:hAnsi="Times New Roman" w:cs="Times New Roman"/>
                    </w:rPr>
                    <w:delText xml:space="preserve">. </w:delText>
                  </w:r>
                </w:del>
              </w:ins>
              <w:customXmlInsRangeStart w:id="60" w:author="Author" w:date="2020-07-15T05:14:00Z"/>
            </w:sdtContent>
          </w:sdt>
          <w:customXmlInsRangeEnd w:id="60"/>
          <w:sdt>
            <w:sdtPr>
              <w:tag w:val="goog_rdk_43"/>
              <w:id w:val="-1985073733"/>
            </w:sdtPr>
            <w:sdtContent>
              <w:commentRangeStart w:id="61"/>
            </w:sdtContent>
          </w:sdt>
          <w:ins w:id="62" w:author="Author" w:date="2020-07-15T05:14:00Z">
            <w:r>
              <w:rPr>
                <w:rFonts w:ascii="Times New Roman" w:eastAsia="Times New Roman" w:hAnsi="Times New Roman" w:cs="Times New Roman"/>
              </w:rPr>
              <w:t xml:space="preserve">In addition, certain flexibilities are expected to apply within the frame of ongoing evaluation of the needs to develop state holding of major hospitals also actively contributing to Georgia response to COVID-19. </w:t>
            </w:r>
          </w:ins>
        </w:sdtContent>
      </w:sdt>
      <w:commentRangeEnd w:id="61"/>
      <w:r>
        <w:commentReference w:id="61"/>
      </w:r>
      <w:r>
        <w:rPr>
          <w:rFonts w:ascii="Times New Roman" w:eastAsia="Times New Roman" w:hAnsi="Times New Roman" w:cs="Times New Roman"/>
        </w:rPr>
        <w:t xml:space="preserve">Finally, the project will provide retroactive financing of certain types of activities </w:t>
      </w:r>
      <w:r>
        <w:rPr>
          <w:rFonts w:ascii="Times New Roman" w:eastAsia="Times New Roman" w:hAnsi="Times New Roman" w:cs="Times New Roman"/>
        </w:rPr>
        <w:lastRenderedPageBreak/>
        <w:t xml:space="preserve">undertaken prior to its effectiveness. All of the above calls for a clear and effective mechanism to undertake environmental and social risk screening of individual activities suggested for the project support and verification of their eligibility for financing from the project proceeds. Present ESMF details rules for screening potential environmental and social issues that may be related to the upcoming subprojects and provides a template for risk assessment and classification. No activity of higher than substantial environmental risk and/or higher than substantial social risk will be eligible for the project support. In addition to filtering out ineligible subprojects, environmental and social screening will also define a need and a type of site-specific risk management documents to be prepared prior to their implementation.   </w:t>
      </w:r>
    </w:p>
    <w:p w14:paraId="000000BD" w14:textId="77777777" w:rsidR="009F1887" w:rsidRDefault="00790D5B">
      <w:pPr>
        <w:pStyle w:val="Heading2"/>
        <w:numPr>
          <w:ilvl w:val="1"/>
          <w:numId w:val="66"/>
        </w:numPr>
        <w:rPr>
          <w:b w:val="0"/>
        </w:rPr>
      </w:pPr>
      <w:bookmarkStart w:id="63" w:name="_heading=h.tyjcwt" w:colFirst="0" w:colLast="0"/>
      <w:bookmarkEnd w:id="63"/>
      <w:r>
        <w:rPr>
          <w:sz w:val="22"/>
          <w:szCs w:val="22"/>
        </w:rPr>
        <w:t>Project Beneficiaries</w:t>
      </w:r>
    </w:p>
    <w:p w14:paraId="000000BE" w14:textId="77777777" w:rsidR="009F1887" w:rsidRDefault="00790D5B">
      <w:pPr>
        <w:spacing w:before="240" w:after="240"/>
        <w:jc w:val="both"/>
        <w:rPr>
          <w:rFonts w:ascii="Times New Roman" w:eastAsia="Times New Roman" w:hAnsi="Times New Roman" w:cs="Times New Roman"/>
        </w:rPr>
      </w:pPr>
      <w:r>
        <w:rPr>
          <w:rFonts w:ascii="Times New Roman" w:eastAsia="Times New Roman" w:hAnsi="Times New Roman" w:cs="Times New Roman"/>
          <w:b/>
        </w:rPr>
        <w:t>The expected project beneficiaries will be the population at large,</w:t>
      </w:r>
      <w:r>
        <w:rPr>
          <w:rFonts w:ascii="Times New Roman" w:eastAsia="Times New Roman" w:hAnsi="Times New Roman" w:cs="Times New Roman"/>
        </w:rPr>
        <w:t xml:space="preserve"> given the nature of the disease, including particularly infected people and at-risk populations, such as the elderly and people with chronic disease conditions; and medical and emergency personnel of treatment and testing facilities, and public health agencies engaged in the response. In addition, expected beneficiaries of the Component 2 of the project are poor and vulnerable households, including those with informal workers identified through the Government’s existing administrative systems, also IDPs and formal private sector workers who become unemployed because of the lockdown due to the restrictions adopted by the government of Georgia to contain the spread of COVID-19.</w:t>
      </w:r>
    </w:p>
    <w:p w14:paraId="000000BF" w14:textId="77777777" w:rsidR="009F1887" w:rsidRDefault="00790D5B">
      <w:pPr>
        <w:pStyle w:val="Heading2"/>
        <w:numPr>
          <w:ilvl w:val="0"/>
          <w:numId w:val="66"/>
        </w:numPr>
        <w:spacing w:after="240"/>
      </w:pPr>
      <w:bookmarkStart w:id="64" w:name="_heading=h.3dy6vkm" w:colFirst="0" w:colLast="0"/>
      <w:bookmarkEnd w:id="64"/>
      <w:r>
        <w:t>Policy, Legal and Regulatory Framework</w:t>
      </w:r>
    </w:p>
    <w:p w14:paraId="000000C0" w14:textId="77777777" w:rsidR="009F1887" w:rsidRDefault="00790D5B">
      <w:pPr>
        <w:pStyle w:val="Heading2"/>
        <w:numPr>
          <w:ilvl w:val="1"/>
          <w:numId w:val="66"/>
        </w:numPr>
        <w:spacing w:after="240"/>
        <w:ind w:left="851"/>
      </w:pPr>
      <w:bookmarkStart w:id="65" w:name="_heading=h.1t3h5sf" w:colFirst="0" w:colLast="0"/>
      <w:bookmarkEnd w:id="65"/>
      <w:r>
        <w:t>Overview of National Environmental Legislation Relevant for the Project</w:t>
      </w:r>
    </w:p>
    <w:p w14:paraId="000000C1" w14:textId="77777777" w:rsidR="009F1887" w:rsidRDefault="00790D5B">
      <w:pPr>
        <w:spacing w:before="240" w:after="240"/>
        <w:jc w:val="both"/>
        <w:rPr>
          <w:b/>
        </w:rPr>
      </w:pPr>
      <w:r>
        <w:rPr>
          <w:rFonts w:ascii="Times New Roman" w:eastAsia="Times New Roman" w:hAnsi="Times New Roman" w:cs="Times New Roman"/>
        </w:rPr>
        <w:t>The following environmental laws and regulations are relevant to the Emergency COVID-19 Response Project:</w:t>
      </w:r>
    </w:p>
    <w:p w14:paraId="000000C2"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Environmental Assessment Code</w:t>
      </w:r>
      <w:r>
        <w:rPr>
          <w:rFonts w:ascii="Times New Roman" w:eastAsia="Times New Roman" w:hAnsi="Times New Roman" w:cs="Times New Roman"/>
          <w:b/>
          <w:i/>
          <w:vertAlign w:val="superscript"/>
        </w:rPr>
        <w:footnoteReference w:id="7"/>
      </w:r>
      <w:r>
        <w:rPr>
          <w:rFonts w:ascii="Times New Roman" w:eastAsia="Times New Roman" w:hAnsi="Times New Roman" w:cs="Times New Roman"/>
          <w:b/>
          <w:i/>
        </w:rPr>
        <w:t xml:space="preserve"> </w:t>
      </w:r>
      <w:r>
        <w:rPr>
          <w:rFonts w:ascii="Times New Roman" w:eastAsia="Times New Roman" w:hAnsi="Times New Roman" w:cs="Times New Roman"/>
          <w:i/>
        </w:rPr>
        <w:t>(2017, last amended in 2018).</w:t>
      </w:r>
      <w:r>
        <w:rPr>
          <w:rFonts w:ascii="Times New Roman" w:eastAsia="Times New Roman" w:hAnsi="Times New Roman" w:cs="Times New Roman"/>
          <w:b/>
          <w:i/>
        </w:rPr>
        <w:t xml:space="preserve"> </w:t>
      </w:r>
      <w:r>
        <w:rPr>
          <w:rFonts w:ascii="Times New Roman" w:eastAsia="Times New Roman" w:hAnsi="Times New Roman" w:cs="Times New Roman"/>
        </w:rPr>
        <w:t>This Code replaced previously existing laws on environmental impact assessment (EIA) and permitting. Compared to those laws, the new Code is considerably closer to the good international practice and the EU directive</w:t>
      </w:r>
      <w:sdt>
        <w:sdtPr>
          <w:tag w:val="goog_rdk_44"/>
          <w:id w:val="1588806751"/>
        </w:sdtPr>
        <w:sdtContent>
          <w:r>
            <w:rPr>
              <w:rFonts w:ascii="Times New Roman" w:eastAsia="Times New Roman" w:hAnsi="Times New Roman" w:cs="Times New Roman"/>
              <w:shd w:val="clear" w:color="auto" w:fill="FEFEFE"/>
              <w:rPrChange w:id="66" w:author="Giorgi Kobaladze" w:date="2020-07-17T06:19:00Z">
                <w:rPr>
                  <w:rFonts w:ascii="Times New Roman" w:eastAsia="Times New Roman" w:hAnsi="Times New Roman" w:cs="Times New Roman"/>
                </w:rPr>
              </w:rPrChange>
            </w:rPr>
            <w:t xml:space="preserve"> 2014/52/E</w:t>
          </w:r>
        </w:sdtContent>
      </w:sdt>
      <w:sdt>
        <w:sdtPr>
          <w:tag w:val="goog_rdk_45"/>
          <w:id w:val="1116956582"/>
        </w:sdtPr>
        <w:sdtContent>
          <w:commentRangeStart w:id="67"/>
        </w:sdtContent>
      </w:sdt>
      <w:sdt>
        <w:sdtPr>
          <w:tag w:val="goog_rdk_46"/>
          <w:id w:val="-1554297896"/>
        </w:sdtPr>
        <w:sdtContent>
          <w:r>
            <w:rPr>
              <w:rFonts w:ascii="Times New Roman" w:eastAsia="Times New Roman" w:hAnsi="Times New Roman" w:cs="Times New Roman"/>
              <w:shd w:val="clear" w:color="auto" w:fill="FEFEFE"/>
              <w:rPrChange w:id="68" w:author="Giorgi Kobaladze" w:date="2020-07-17T06:19:00Z">
                <w:rPr>
                  <w:rFonts w:ascii="Times New Roman" w:eastAsia="Times New Roman" w:hAnsi="Times New Roman" w:cs="Times New Roman"/>
                </w:rPr>
              </w:rPrChange>
            </w:rPr>
            <w:t>U</w:t>
          </w:r>
        </w:sdtContent>
      </w:sdt>
      <w:commentRangeEnd w:id="67"/>
      <w:r>
        <w:commentReference w:id="67"/>
      </w:r>
      <w:r>
        <w:rPr>
          <w:rFonts w:ascii="Times New Roman" w:eastAsia="Times New Roman" w:hAnsi="Times New Roman" w:cs="Times New Roman"/>
          <w:vertAlign w:val="superscript"/>
        </w:rPr>
        <w:footnoteReference w:id="8"/>
      </w:r>
      <w:sdt>
        <w:sdtPr>
          <w:tag w:val="goog_rdk_47"/>
          <w:id w:val="-653907961"/>
        </w:sdtPr>
        <w:sdtContent>
          <w:sdt>
            <w:sdtPr>
              <w:tag w:val="goog_rdk_48"/>
              <w:id w:val="933014514"/>
            </w:sdtPr>
            <w:sdtContent>
              <w:del w:id="73" w:author="Giorgi Kobaladze" w:date="2020-07-17T06:18:00Z">
                <w:r>
                  <w:rPr>
                    <w:rFonts w:ascii="Times New Roman" w:eastAsia="Times New Roman" w:hAnsi="Times New Roman" w:cs="Times New Roman"/>
                    <w:shd w:val="clear" w:color="auto" w:fill="FEFEFE"/>
                    <w:rPrChange w:id="74" w:author="Giorgi Kobaladze" w:date="2020-07-17T06:19:00Z">
                      <w:rPr>
                        <w:rFonts w:ascii="Times New Roman" w:eastAsia="Times New Roman" w:hAnsi="Times New Roman" w:cs="Times New Roman"/>
                      </w:rPr>
                    </w:rPrChange>
                  </w:rPr>
                  <w:delText>.</w:delText>
                </w:r>
              </w:del>
            </w:sdtContent>
          </w:sdt>
        </w:sdtContent>
      </w:sdt>
      <w:sdt>
        <w:sdtPr>
          <w:tag w:val="goog_rdk_49"/>
          <w:id w:val="-193007390"/>
        </w:sdtPr>
        <w:sdtContent>
          <w:sdt>
            <w:sdtPr>
              <w:tag w:val="goog_rdk_50"/>
              <w:id w:val="-185135699"/>
            </w:sdtPr>
            <w:sdtContent>
              <w:ins w:id="75" w:author="Giorgi Kobaladze" w:date="2020-07-17T06:18:00Z">
                <w:r>
                  <w:rPr>
                    <w:rFonts w:ascii="Times New Roman" w:eastAsia="Times New Roman" w:hAnsi="Times New Roman" w:cs="Times New Roman"/>
                    <w:shd w:val="clear" w:color="auto" w:fill="FEFEFE"/>
                    <w:rPrChange w:id="76" w:author="Giorgi Kobaladze" w:date="2020-07-17T06:19:00Z">
                      <w:rPr>
                        <w:rFonts w:ascii="Times New Roman" w:eastAsia="Times New Roman" w:hAnsi="Times New Roman" w:cs="Times New Roman"/>
                      </w:rPr>
                    </w:rPrChange>
                  </w:rPr>
                  <w:t>on the assessment of the effects of certain public and private projects on the environment.</w:t>
                </w:r>
              </w:ins>
            </w:sdtContent>
          </w:sdt>
        </w:sdtContent>
      </w:sdt>
      <w:sdt>
        <w:sdtPr>
          <w:tag w:val="goog_rdk_51"/>
          <w:id w:val="2053109206"/>
        </w:sdtPr>
        <w:sdtContent>
          <w:r>
            <w:rPr>
              <w:rFonts w:ascii="Times New Roman" w:eastAsia="Times New Roman" w:hAnsi="Times New Roman" w:cs="Times New Roman"/>
              <w:shd w:val="clear" w:color="auto" w:fill="FEFEFE"/>
              <w:rPrChange w:id="77" w:author="Giorgi Kobaladze" w:date="2020-07-17T06:19:00Z">
                <w:rPr>
                  <w:rFonts w:ascii="Times New Roman" w:eastAsia="Times New Roman" w:hAnsi="Times New Roman" w:cs="Times New Roman"/>
                </w:rPr>
              </w:rPrChange>
            </w:rPr>
            <w:t xml:space="preserve"> </w:t>
          </w:r>
        </w:sdtContent>
      </w:sdt>
      <w:r>
        <w:rPr>
          <w:rFonts w:ascii="Times New Roman" w:eastAsia="Times New Roman" w:hAnsi="Times New Roman" w:cs="Times New Roman"/>
        </w:rPr>
        <w:t xml:space="preserve">The Code lists out two sets of activities one of which is subject to EIA under any circumstances while the other may or may not require EIA, depending on the project-specific decision of the Ministry of Environment Protection and Agriculture (MEPA) based on the screening report. The Code introduces screening and scoping phases in the EIA process. It mandates disclosure of documentation generated in the EIA process and public participation in decision-making. Screening applications and conclusions as well as scoping and EIA applications and reports are all subject to disclosure through the web page of MEPA. The Ministry is responsible for advertising and holding public consultation meetings on scoping and EIA reports. Project proponent is responsible for carrying out EIA. Based on the outcome of EIA process, MEPA issues positive or negative </w:t>
      </w:r>
      <w:r>
        <w:rPr>
          <w:rFonts w:ascii="Times New Roman" w:eastAsia="Times New Roman" w:hAnsi="Times New Roman" w:cs="Times New Roman"/>
        </w:rPr>
        <w:lastRenderedPageBreak/>
        <w:t>conclusion on the activity under consideration. Positive conclusion feeds into the process of construction permitting, while negative conclusion blocks it.</w:t>
      </w:r>
    </w:p>
    <w:p w14:paraId="000000C3" w14:textId="77777777" w:rsidR="009F1887" w:rsidRDefault="00790D5B">
      <w:pPr>
        <w:spacing w:after="240"/>
        <w:jc w:val="both"/>
        <w:rPr>
          <w:rFonts w:ascii="Times New Roman" w:eastAsia="Times New Roman" w:hAnsi="Times New Roman" w:cs="Times New Roman"/>
          <w:u w:val="single"/>
        </w:rPr>
      </w:pPr>
      <w:r>
        <w:rPr>
          <w:rFonts w:ascii="Times New Roman" w:eastAsia="Times New Roman" w:hAnsi="Times New Roman" w:cs="Times New Roman"/>
          <w:b/>
          <w:i/>
        </w:rPr>
        <w:t>Law on Environmental Protection</w:t>
      </w:r>
      <w:r>
        <w:rPr>
          <w:rFonts w:ascii="Times New Roman" w:eastAsia="Times New Roman" w:hAnsi="Times New Roman" w:cs="Times New Roman"/>
          <w:b/>
          <w:i/>
          <w:vertAlign w:val="superscript"/>
        </w:rPr>
        <w:footnoteReference w:id="9"/>
      </w:r>
      <w:r>
        <w:rPr>
          <w:rFonts w:ascii="Times New Roman" w:eastAsia="Times New Roman" w:hAnsi="Times New Roman" w:cs="Times New Roman"/>
        </w:rPr>
        <w:t xml:space="preserve"> </w:t>
      </w:r>
      <w:r>
        <w:rPr>
          <w:rFonts w:ascii="Times New Roman" w:eastAsia="Times New Roman" w:hAnsi="Times New Roman" w:cs="Times New Roman"/>
          <w:i/>
        </w:rPr>
        <w:t>(1996, last amended in 2019).</w:t>
      </w:r>
      <w:r>
        <w:rPr>
          <w:rFonts w:ascii="Times New Roman" w:eastAsia="Times New Roman" w:hAnsi="Times New Roman" w:cs="Times New Roman"/>
        </w:rPr>
        <w:t xml:space="preserve">  The Law stipulates that everyone has a right to live in a natural environment that is not harmful to their health. It regulates the</w:t>
      </w:r>
      <w:r>
        <w:rPr>
          <w:rFonts w:ascii="Merriweather" w:eastAsia="Merriweather" w:hAnsi="Merriweather" w:cs="Merriweather"/>
        </w:rPr>
        <w:t xml:space="preserve"> </w:t>
      </w:r>
      <w:r>
        <w:rPr>
          <w:rFonts w:ascii="Times New Roman" w:eastAsia="Times New Roman" w:hAnsi="Times New Roman" w:cs="Times New Roman"/>
        </w:rPr>
        <w:t>relationship between the State and physical / legal entities in the area of the environmental protection and utilization of natural resources on the entire territory of Georgia, including its territorial waters, airspace, continental shelf and exclusive economic zones.  The law serves the state for ensuring protection and rational use of natural capital and healthy environment in the ecologic and economic interests of society and with due consideration of interests of present as well as future generations. It aims to conserve biological diversity; rare, endemic and endangered species of flora and fauna; and marine environment and to maintain ecological balance.</w:t>
      </w:r>
      <w:r>
        <w:rPr>
          <w:rFonts w:ascii="Times New Roman" w:eastAsia="Times New Roman" w:hAnsi="Times New Roman" w:cs="Times New Roman"/>
          <w:u w:val="single"/>
        </w:rPr>
        <w:t xml:space="preserve"> </w:t>
      </w:r>
    </w:p>
    <w:p w14:paraId="000000C4"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Waste Management Code</w:t>
      </w:r>
      <w:r>
        <w:rPr>
          <w:rFonts w:ascii="Times New Roman" w:eastAsia="Times New Roman" w:hAnsi="Times New Roman" w:cs="Times New Roman"/>
          <w:b/>
          <w:i/>
          <w:vertAlign w:val="superscript"/>
        </w:rPr>
        <w:footnoteReference w:id="10"/>
      </w:r>
      <w:r>
        <w:rPr>
          <w:rFonts w:ascii="Times New Roman" w:eastAsia="Times New Roman" w:hAnsi="Times New Roman" w:cs="Times New Roman"/>
          <w:b/>
          <w:i/>
        </w:rPr>
        <w:t xml:space="preserve"> </w:t>
      </w:r>
      <w:r>
        <w:rPr>
          <w:rFonts w:ascii="Times New Roman" w:eastAsia="Times New Roman" w:hAnsi="Times New Roman" w:cs="Times New Roman"/>
          <w:i/>
        </w:rPr>
        <w:t>(2014, last amended in 2019).</w:t>
      </w:r>
      <w:r>
        <w:rPr>
          <w:rFonts w:ascii="Times New Roman" w:eastAsia="Times New Roman" w:hAnsi="Times New Roman" w:cs="Times New Roman"/>
          <w:b/>
          <w:i/>
        </w:rPr>
        <w:t xml:space="preserve"> </w:t>
      </w:r>
      <w:r>
        <w:rPr>
          <w:rFonts w:ascii="Times New Roman" w:eastAsia="Times New Roman" w:hAnsi="Times New Roman" w:cs="Times New Roman"/>
        </w:rPr>
        <w:t xml:space="preserve">The main purpose of the Code is protection of environmental and public health by (i) preventing and minimizing waste generation and its negative impacts; (ii) establishing effective mechanism of waste management; and (iii) decreasing impact of resource use and stimulating rational use of resources. An important feature is the Code is the establishment of the advanced hierarchy of waste management which the following order of priority: prevent, reuse, recycle, recover (including energy) and dispose. The Code sets forth the following conventional principles of waste management: (i) precaution – take preventive measures even if the threat is not fully proven; (ii) polluter pays – make polluter liable for the damage incurred; (iii) proximity – process waste at the closest facility as reasonable from environmental and economic standpoints; and (iv) self-sufficiency – operate an integrated and viable network of municipal waste processing and disposal facilities. The Code requires development of a National Waste Management Strategy and Action Plan, the latter being subject to the approval by the Government of Georgia. Physical and legal bodies (private sector) generating over 200 tons of non-hazardous waste or over 1,000 tons of inert excess material are obligated to develop and adhere to their own waste management plan.  </w:t>
      </w:r>
    </w:p>
    <w:p w14:paraId="000000C5"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Law on Water</w:t>
      </w:r>
      <w:r>
        <w:rPr>
          <w:rFonts w:ascii="Times New Roman" w:eastAsia="Times New Roman" w:hAnsi="Times New Roman" w:cs="Times New Roman"/>
          <w:b/>
          <w:i/>
          <w:vertAlign w:val="superscript"/>
        </w:rPr>
        <w:footnoteReference w:id="11"/>
      </w:r>
      <w:r>
        <w:rPr>
          <w:rFonts w:ascii="Times New Roman" w:eastAsia="Times New Roman" w:hAnsi="Times New Roman" w:cs="Times New Roman"/>
        </w:rPr>
        <w:t xml:space="preserve"> (1997, last amended in 2018). The Law regulates water resources in Georgia, including the use and protection of surface and ground water. Water </w:t>
      </w:r>
      <w:sdt>
        <w:sdtPr>
          <w:tag w:val="goog_rdk_52"/>
          <w:id w:val="2094501997"/>
        </w:sdtPr>
        <w:sdtContent>
          <w:ins w:id="79" w:author="Giorgi Kobaladze" w:date="2020-07-17T07:00:00Z">
            <w:r>
              <w:rPr>
                <w:rFonts w:ascii="Times New Roman" w:eastAsia="Times New Roman" w:hAnsi="Times New Roman" w:cs="Times New Roman"/>
              </w:rPr>
              <w:t>users are</w:t>
            </w:r>
          </w:ins>
        </w:sdtContent>
      </w:sdt>
      <w:sdt>
        <w:sdtPr>
          <w:tag w:val="goog_rdk_53"/>
          <w:id w:val="319397293"/>
        </w:sdtPr>
        <w:sdtContent>
          <w:del w:id="80" w:author="Giorgi Kobaladze" w:date="2020-07-17T07:00:00Z">
            <w:r>
              <w:rPr>
                <w:rFonts w:ascii="Times New Roman" w:eastAsia="Times New Roman" w:hAnsi="Times New Roman" w:cs="Times New Roman"/>
              </w:rPr>
              <w:delText>user is</w:delText>
            </w:r>
          </w:del>
        </w:sdtContent>
      </w:sdt>
      <w:r>
        <w:rPr>
          <w:rFonts w:ascii="Times New Roman" w:eastAsia="Times New Roman" w:hAnsi="Times New Roman" w:cs="Times New Roman"/>
        </w:rPr>
        <w:t xml:space="preserve"> obliged to prepare technical documentation on the intended extraction of water from any surface water body, to be agreed with and approved by the MEPA. Extraction of ground water in the amount exceeding 10 million cubic meters per annum is subject to EIA and licensing.</w:t>
      </w:r>
    </w:p>
    <w:p w14:paraId="000000C6"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Law of Georgia on Soil Protection</w:t>
      </w:r>
      <w:r>
        <w:rPr>
          <w:rFonts w:ascii="Times New Roman" w:eastAsia="Times New Roman" w:hAnsi="Times New Roman" w:cs="Times New Roman"/>
          <w:b/>
          <w:i/>
          <w:vertAlign w:val="superscript"/>
        </w:rPr>
        <w:footnoteReference w:id="12"/>
      </w:r>
      <w:r>
        <w:rPr>
          <w:rFonts w:ascii="Times New Roman" w:eastAsia="Times New Roman" w:hAnsi="Times New Roman" w:cs="Times New Roman"/>
        </w:rPr>
        <w:t xml:space="preserve"> (1994, last amended in 2017). This law is intended to ensure preservation of soil integrity and improve soil fertility. Its primary applicability to the project will be to require excavations at towers to preserve topsoil by removing and storing it before using it to reinstate disturbed sites, and to take the same precautions to preserve topsoil and reinstate disturbed areas if soil or </w:t>
      </w:r>
      <w:r>
        <w:rPr>
          <w:rFonts w:ascii="Times New Roman" w:eastAsia="Times New Roman" w:hAnsi="Times New Roman" w:cs="Times New Roman"/>
        </w:rPr>
        <w:lastRenderedPageBreak/>
        <w:t>earthen materials are taken from borrow pits for use at tower locations or the substation. In addition, the project will be required to manage fuels and other hazardous substances, so they do not contaminate soils.</w:t>
      </w:r>
    </w:p>
    <w:p w14:paraId="000000C7"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Law on Protection of Atmospheric Air</w:t>
      </w:r>
      <w:r>
        <w:rPr>
          <w:rFonts w:ascii="Times New Roman" w:eastAsia="Times New Roman" w:hAnsi="Times New Roman" w:cs="Times New Roman"/>
          <w:b/>
          <w:i/>
          <w:vertAlign w:val="superscript"/>
        </w:rPr>
        <w:footnoteReference w:id="13"/>
      </w:r>
      <w:r>
        <w:rPr>
          <w:rFonts w:ascii="Times New Roman" w:eastAsia="Times New Roman" w:hAnsi="Times New Roman" w:cs="Times New Roman"/>
        </w:rPr>
        <w:t xml:space="preserve"> (1999, last amended in 2018). This law prohibits human activities that affect air quality from causing a negative impact on human health or the environment. The project will not require a permit but will control dust and prevent excessive emissions from vehicle and equipment engines. </w:t>
      </w:r>
    </w:p>
    <w:sdt>
      <w:sdtPr>
        <w:tag w:val="goog_rdk_65"/>
        <w:id w:val="-1379088055"/>
      </w:sdtPr>
      <w:sdtContent>
        <w:p w14:paraId="000000C8" w14:textId="77777777" w:rsidR="009F1887" w:rsidRPr="009F1887" w:rsidRDefault="00790D5B">
          <w:pPr>
            <w:spacing w:after="240"/>
            <w:jc w:val="both"/>
            <w:rPr>
              <w:rFonts w:ascii="Times New Roman" w:eastAsia="Times New Roman" w:hAnsi="Times New Roman" w:cs="Times New Roman"/>
              <w:shd w:val="clear" w:color="auto" w:fill="FEFEFE"/>
              <w:rPrChange w:id="86" w:author="Giorgi Kobaladze" w:date="2020-07-17T06:25:00Z">
                <w:rPr>
                  <w:rFonts w:ascii="Times New Roman" w:eastAsia="Times New Roman" w:hAnsi="Times New Roman" w:cs="Times New Roman"/>
                </w:rPr>
              </w:rPrChange>
            </w:rPr>
          </w:pPr>
          <w:r>
            <w:rPr>
              <w:rFonts w:ascii="Times New Roman" w:eastAsia="Times New Roman" w:hAnsi="Times New Roman" w:cs="Times New Roman"/>
              <w:b/>
              <w:i/>
            </w:rPr>
            <w:t>Law of Georgia on Ambient Air Protection</w:t>
          </w:r>
          <w:r>
            <w:rPr>
              <w:rFonts w:ascii="Times New Roman" w:eastAsia="Times New Roman" w:hAnsi="Times New Roman" w:cs="Times New Roman"/>
              <w:b/>
              <w:i/>
              <w:vertAlign w:val="superscript"/>
            </w:rPr>
            <w:footnoteReference w:id="14"/>
          </w:r>
          <w:r>
            <w:rPr>
              <w:rFonts w:ascii="Times New Roman" w:eastAsia="Times New Roman" w:hAnsi="Times New Roman" w:cs="Times New Roman"/>
            </w:rPr>
            <w:t xml:space="preserve"> (2000, last amended in 2016).</w:t>
          </w:r>
          <w:sdt>
            <w:sdtPr>
              <w:tag w:val="goog_rdk_54"/>
              <w:id w:val="575009572"/>
            </w:sdtPr>
            <w:sdtContent>
              <w:r>
                <w:rPr>
                  <w:rFonts w:ascii="Times New Roman" w:eastAsia="Times New Roman" w:hAnsi="Times New Roman" w:cs="Times New Roman"/>
                  <w:shd w:val="clear" w:color="auto" w:fill="FEFEFE"/>
                  <w:rPrChange w:id="87" w:author="Giorgi Kobaladze" w:date="2020-07-17T06:25:00Z">
                    <w:rPr>
                      <w:rFonts w:ascii="Times New Roman" w:eastAsia="Times New Roman" w:hAnsi="Times New Roman" w:cs="Times New Roman"/>
                    </w:rPr>
                  </w:rPrChange>
                </w:rPr>
                <w:t xml:space="preserve"> </w:t>
              </w:r>
            </w:sdtContent>
          </w:sdt>
          <w:sdt>
            <w:sdtPr>
              <w:tag w:val="goog_rdk_55"/>
              <w:id w:val="2022129269"/>
            </w:sdtPr>
            <w:sdtContent>
              <w:sdt>
                <w:sdtPr>
                  <w:tag w:val="goog_rdk_56"/>
                  <w:id w:val="459925158"/>
                </w:sdtPr>
                <w:sdtContent>
                  <w:ins w:id="88" w:author="Giorgi Kobaladze" w:date="2020-07-17T06:21:00Z">
                    <w:r>
                      <w:rPr>
                        <w:rFonts w:ascii="Times New Roman" w:eastAsia="Times New Roman" w:hAnsi="Times New Roman" w:cs="Times New Roman"/>
                        <w:shd w:val="clear" w:color="auto" w:fill="FEFEFE"/>
                        <w:rPrChange w:id="89" w:author="Giorgi Kobaladze" w:date="2020-07-17T06:25:00Z">
                          <w:rPr>
                            <w:rFonts w:ascii="Times New Roman" w:eastAsia="Times New Roman" w:hAnsi="Times New Roman" w:cs="Times New Roman"/>
                          </w:rPr>
                        </w:rPrChange>
                      </w:rPr>
                      <w:t xml:space="preserve">law regulates protection of ambient air from harmful anthropogenic impacts in the territory of Georgia. It represents the key regulatory legislative act in the sphere of ambient air quality management.  The law defines those regulatory and management mechanisms, which should be used with the purpose of ambient air protection in the country. According to the law, these mechanisms cover: ambient air quality norms; state regulation of emission of hazardous substances and its bounding values from stationary, mobile and dispersion sources; fuel quality norms and control; air quality monitoring; economic instruments, etc. </w:t>
                    </w:r>
                  </w:ins>
                </w:sdtContent>
              </w:sdt>
              <w:customXmlInsRangeStart w:id="90" w:author="Giorgi Kobaladze" w:date="2020-07-17T06:21:00Z"/>
              <w:sdt>
                <w:sdtPr>
                  <w:tag w:val="goog_rdk_57"/>
                  <w:id w:val="-419865962"/>
                </w:sdtPr>
                <w:sdtContent>
                  <w:customXmlInsRangeEnd w:id="90"/>
                  <w:ins w:id="91" w:author="Giorgi Kobaladze" w:date="2020-07-17T06:21:00Z">
                    <w:r>
                      <w:rPr>
                        <w:rFonts w:ascii="Times New Roman" w:eastAsia="Times New Roman" w:hAnsi="Times New Roman" w:cs="Times New Roman"/>
                        <w:shd w:val="clear" w:color="auto" w:fill="FEFEFE"/>
                        <w:rPrChange w:id="92" w:author="Giorgi Kobaladze" w:date="2020-07-17T06:25:00Z">
                          <w:rPr>
                            <w:rFonts w:ascii="Times New Roman" w:eastAsia="Times New Roman" w:hAnsi="Times New Roman" w:cs="Times New Roman"/>
                          </w:rPr>
                        </w:rPrChange>
                      </w:rPr>
                      <w:t>Together</w:t>
                    </w:r>
                  </w:ins>
                  <w:customXmlInsRangeStart w:id="93" w:author="Giorgi Kobaladze" w:date="2020-07-17T06:21:00Z"/>
                </w:sdtContent>
              </w:sdt>
              <w:customXmlInsRangeEnd w:id="93"/>
              <w:customXmlInsRangeStart w:id="94" w:author="Giorgi Kobaladze" w:date="2020-07-17T06:21:00Z"/>
              <w:sdt>
                <w:sdtPr>
                  <w:tag w:val="goog_rdk_58"/>
                  <w:id w:val="2066063030"/>
                </w:sdtPr>
                <w:sdtContent>
                  <w:customXmlInsRangeEnd w:id="94"/>
                  <w:ins w:id="95" w:author="Giorgi Kobaladze" w:date="2020-07-17T06:21:00Z">
                    <w:r>
                      <w:rPr>
                        <w:rFonts w:ascii="Times New Roman" w:eastAsia="Times New Roman" w:hAnsi="Times New Roman" w:cs="Times New Roman"/>
                        <w:shd w:val="clear" w:color="auto" w:fill="FEFEFE"/>
                        <w:rPrChange w:id="96" w:author="Giorgi Kobaladze" w:date="2020-07-17T06:25:00Z">
                          <w:rPr>
                            <w:rFonts w:ascii="Times New Roman" w:eastAsia="Times New Roman" w:hAnsi="Times New Roman" w:cs="Times New Roman"/>
                          </w:rPr>
                        </w:rPrChange>
                      </w:rPr>
                      <w:t xml:space="preserve"> with this law, GoG has approved the standards on ambient air quality in a form of technical regulation which is </w:t>
                    </w:r>
                  </w:ins>
                  <w:customXmlInsRangeStart w:id="97" w:author="Giorgi Kobaladze" w:date="2020-07-17T06:21:00Z"/>
                </w:sdtContent>
              </w:sdt>
              <w:customXmlInsRangeEnd w:id="97"/>
              <w:customXmlInsRangeStart w:id="98" w:author="Giorgi Kobaladze" w:date="2020-07-17T06:21:00Z"/>
              <w:sdt>
                <w:sdtPr>
                  <w:tag w:val="goog_rdk_59"/>
                  <w:id w:val="316386914"/>
                </w:sdtPr>
                <w:sdtContent>
                  <w:customXmlInsRangeEnd w:id="98"/>
                  <w:ins w:id="99" w:author="Giorgi Kobaladze" w:date="2020-07-17T06:21:00Z">
                    <w:r>
                      <w:rPr>
                        <w:rFonts w:ascii="Times New Roman" w:eastAsia="Times New Roman" w:hAnsi="Times New Roman" w:cs="Times New Roman"/>
                        <w:shd w:val="clear" w:color="auto" w:fill="FEFEFE"/>
                        <w:rPrChange w:id="100" w:author="Giorgi Kobaladze" w:date="2020-07-17T06:25:00Z">
                          <w:rPr>
                            <w:rFonts w:ascii="Times New Roman" w:eastAsia="Times New Roman" w:hAnsi="Times New Roman" w:cs="Times New Roman"/>
                          </w:rPr>
                        </w:rPrChange>
                      </w:rPr>
                      <w:t>applicable</w:t>
                    </w:r>
                  </w:ins>
                  <w:customXmlInsRangeStart w:id="101" w:author="Giorgi Kobaladze" w:date="2020-07-17T06:21:00Z"/>
                </w:sdtContent>
              </w:sdt>
              <w:customXmlInsRangeEnd w:id="101"/>
              <w:customXmlInsRangeStart w:id="102" w:author="Giorgi Kobaladze" w:date="2020-07-17T06:21:00Z"/>
              <w:sdt>
                <w:sdtPr>
                  <w:tag w:val="goog_rdk_60"/>
                  <w:id w:val="1150640251"/>
                </w:sdtPr>
                <w:sdtContent>
                  <w:customXmlInsRangeEnd w:id="102"/>
                  <w:ins w:id="103" w:author="Giorgi Kobaladze" w:date="2020-07-17T06:21:00Z">
                    <w:r>
                      <w:rPr>
                        <w:rFonts w:ascii="Times New Roman" w:eastAsia="Times New Roman" w:hAnsi="Times New Roman" w:cs="Times New Roman"/>
                        <w:shd w:val="clear" w:color="auto" w:fill="FEFEFE"/>
                        <w:rPrChange w:id="104" w:author="Giorgi Kobaladze" w:date="2020-07-17T06:25:00Z">
                          <w:rPr>
                            <w:rFonts w:ascii="Times New Roman" w:eastAsia="Times New Roman" w:hAnsi="Times New Roman" w:cs="Times New Roman"/>
                          </w:rPr>
                        </w:rPrChange>
                      </w:rPr>
                      <w:t xml:space="preserve"> to medical waste treatment facilities</w:t>
                    </w:r>
                  </w:ins>
                  <w:customXmlInsRangeStart w:id="105" w:author="Giorgi Kobaladze" w:date="2020-07-17T06:21:00Z"/>
                </w:sdtContent>
              </w:sdt>
              <w:customXmlInsRangeEnd w:id="105"/>
              <w:ins w:id="106" w:author="Giorgi Kobaladze" w:date="2020-07-17T06:21:00Z">
                <w:r>
                  <w:rPr>
                    <w:rFonts w:ascii="Times New Roman" w:eastAsia="Times New Roman" w:hAnsi="Times New Roman" w:cs="Times New Roman"/>
                    <w:vertAlign w:val="superscript"/>
                  </w:rPr>
                  <w:footnoteReference w:id="15"/>
                </w:r>
              </w:ins>
            </w:sdtContent>
          </w:sdt>
          <w:sdt>
            <w:sdtPr>
              <w:tag w:val="goog_rdk_61"/>
              <w:id w:val="953832872"/>
            </w:sdtPr>
            <w:sdtContent>
              <w:sdt>
                <w:sdtPr>
                  <w:tag w:val="goog_rdk_62"/>
                  <w:id w:val="1552575890"/>
                </w:sdtPr>
                <w:sdtContent>
                  <w:commentRangeStart w:id="133"/>
                </w:sdtContent>
              </w:sdt>
              <w:customXmlDelRangeStart w:id="134" w:author="Giorgi Kobaladze" w:date="2020-07-17T06:21:00Z"/>
              <w:sdt>
                <w:sdtPr>
                  <w:tag w:val="goog_rdk_63"/>
                  <w:id w:val="-707560703"/>
                </w:sdtPr>
                <w:sdtContent>
                  <w:customXmlDelRangeEnd w:id="134"/>
                  <w:del w:id="135" w:author="Giorgi Kobaladze" w:date="2020-07-17T06:21:00Z">
                    <w:r>
                      <w:rPr>
                        <w:rFonts w:ascii="Times New Roman" w:eastAsia="Times New Roman" w:hAnsi="Times New Roman" w:cs="Times New Roman"/>
                        <w:shd w:val="clear" w:color="auto" w:fill="FEFEFE"/>
                        <w:rPrChange w:id="136" w:author="Giorgi Kobaladze" w:date="2020-07-17T06:25:00Z">
                          <w:rPr>
                            <w:rFonts w:ascii="Times New Roman" w:eastAsia="Times New Roman" w:hAnsi="Times New Roman" w:cs="Times New Roman"/>
                          </w:rPr>
                        </w:rPrChange>
                      </w:rPr>
                      <w:delText>According to the law, threshold limit value of concentration of harmful substances in the ambient air is believed to be an ambient air quality standard and represents a component of environmental quality standards. The standards is approved by the Government of Georgia in a form of technical regulations – ambient air quality standard. The standards are applicable for healthcare waste incinerators too.</w:delText>
                    </w:r>
                  </w:del>
                  <w:customXmlDelRangeStart w:id="137" w:author="Giorgi Kobaladze" w:date="2020-07-17T06:21:00Z"/>
                </w:sdtContent>
              </w:sdt>
              <w:customXmlDelRangeEnd w:id="137"/>
            </w:sdtContent>
          </w:sdt>
          <w:commentRangeEnd w:id="133"/>
          <w:r>
            <w:commentReference w:id="133"/>
          </w:r>
          <w:sdt>
            <w:sdtPr>
              <w:tag w:val="goog_rdk_64"/>
              <w:id w:val="234206181"/>
            </w:sdtPr>
            <w:sdtContent/>
          </w:sdt>
        </w:p>
      </w:sdtContent>
    </w:sdt>
    <w:sdt>
      <w:sdtPr>
        <w:tag w:val="goog_rdk_67"/>
        <w:id w:val="-817041871"/>
      </w:sdtPr>
      <w:sdtContent>
        <w:p w14:paraId="000000C9" w14:textId="77777777" w:rsidR="009F1887" w:rsidRDefault="00790D5B">
          <w:pPr>
            <w:jc w:val="both"/>
            <w:rPr>
              <w:ins w:id="138" w:author="Giorgi Kobaladze" w:date="2020-07-17T06:24:00Z"/>
              <w:rFonts w:ascii="Times New Roman" w:eastAsia="Times New Roman" w:hAnsi="Times New Roman" w:cs="Times New Roman"/>
            </w:rPr>
          </w:pPr>
          <w:r>
            <w:rPr>
              <w:rFonts w:ascii="Times New Roman" w:eastAsia="Times New Roman" w:hAnsi="Times New Roman" w:cs="Times New Roman"/>
              <w:b/>
              <w:i/>
            </w:rPr>
            <w:t>Law of Georgia on Nuclear and Radiation Safety (2012, last amended in 2014).</w:t>
          </w:r>
          <w:r>
            <w:rPr>
              <w:rFonts w:ascii="Times New Roman" w:eastAsia="Times New Roman" w:hAnsi="Times New Roman" w:cs="Times New Roman"/>
            </w:rPr>
            <w:t xml:space="preserve"> </w:t>
          </w:r>
          <w:sdt>
            <w:sdtPr>
              <w:tag w:val="goog_rdk_66"/>
              <w:id w:val="1710305140"/>
            </w:sdtPr>
            <w:sdtContent>
              <w:ins w:id="139" w:author="Giorgi Kobaladze" w:date="2020-07-17T06:24:00Z">
                <w:r>
                  <w:rPr>
                    <w:rFonts w:ascii="Times New Roman" w:eastAsia="Times New Roman" w:hAnsi="Times New Roman" w:cs="Times New Roman"/>
                  </w:rPr>
                  <w:t>The Law governs legal relations between public authorities and natural and legal entitles, who perform activities related to nuclear  and radioactive materials and other source of ionising radiation, and who implement other safety measures for nuclear materials and other sources of ionising radiation. The law defines (i) doses of medical radiation and related safety measures need to be considered by medical facilities; (ii) regulatory requirements for registration, installation, application and utilization of radiopharmaceutical solutions, medical diagnostics and treatment equipment which use radioactive substances (MRT) and ionizing radiation (CT).</w:t>
                </w:r>
              </w:ins>
            </w:sdtContent>
          </w:sdt>
        </w:p>
      </w:sdtContent>
    </w:sdt>
    <w:p w14:paraId="000000CA" w14:textId="77777777" w:rsidR="009F1887" w:rsidRDefault="00EC15FD">
      <w:pPr>
        <w:jc w:val="both"/>
        <w:rPr>
          <w:rFonts w:ascii="Times New Roman" w:eastAsia="Times New Roman" w:hAnsi="Times New Roman" w:cs="Times New Roman"/>
        </w:rPr>
      </w:pPr>
      <w:sdt>
        <w:sdtPr>
          <w:tag w:val="goog_rdk_69"/>
          <w:id w:val="1620116013"/>
        </w:sdtPr>
        <w:sdtContent>
          <w:del w:id="140" w:author="Giorgi Kobaladze" w:date="2020-07-17T06:24:00Z">
            <w:r w:rsidR="00790D5B">
              <w:rPr>
                <w:rFonts w:ascii="Times New Roman" w:eastAsia="Times New Roman" w:hAnsi="Times New Roman" w:cs="Times New Roman"/>
              </w:rPr>
              <w:delText xml:space="preserve">The Law governs legal relations between public authorities and natural and legal entitles, who perform activities related to nuclear </w:delText>
            </w:r>
          </w:del>
          <w:sdt>
            <w:sdtPr>
              <w:tag w:val="goog_rdk_70"/>
              <w:id w:val="730040188"/>
            </w:sdtPr>
            <w:sdtContent>
              <w:commentRangeStart w:id="141"/>
            </w:sdtContent>
          </w:sdt>
          <w:del w:id="142" w:author="Giorgi Kobaladze" w:date="2020-07-17T06:24:00Z">
            <w:r w:rsidR="00790D5B">
              <w:rPr>
                <w:rFonts w:ascii="Times New Roman" w:eastAsia="Times New Roman" w:hAnsi="Times New Roman" w:cs="Times New Roman"/>
              </w:rPr>
              <w:delText xml:space="preserve">and radioactive </w:delText>
            </w:r>
            <w:commentRangeEnd w:id="141"/>
            <w:r w:rsidR="00790D5B">
              <w:commentReference w:id="141"/>
            </w:r>
            <w:r w:rsidR="00790D5B">
              <w:rPr>
                <w:rFonts w:ascii="Times New Roman" w:eastAsia="Times New Roman" w:hAnsi="Times New Roman" w:cs="Times New Roman"/>
              </w:rPr>
              <w:delText>materials and other sources of ionising radiation, and who implement other safety measures for nuclear materials and other sources of ionising radiation. The law defines (i) doses of medical radiation and related safety measures need to be considered by medical facilities; (ii) regulatory requirements for registration, installation, application and utilization of radiopharmaceutical solutions, medical diagnostics and treatment equipment which use radioactive substances (MRT) and ionizing radiation (CT).</w:delText>
            </w:r>
          </w:del>
        </w:sdtContent>
      </w:sdt>
      <w:r w:rsidR="00790D5B">
        <w:rPr>
          <w:rFonts w:ascii="Times New Roman" w:eastAsia="Times New Roman" w:hAnsi="Times New Roman" w:cs="Times New Roman"/>
        </w:rPr>
        <w:t xml:space="preserve"> </w:t>
      </w:r>
    </w:p>
    <w:p w14:paraId="000000CB"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Other technical regulations, procedures, decrees and ordinance applicable to the project are as follows: </w:t>
      </w:r>
    </w:p>
    <w:p w14:paraId="000000CC" w14:textId="77777777" w:rsidR="009F1887" w:rsidRDefault="00790D5B">
      <w:pPr>
        <w:numPr>
          <w:ilvl w:val="0"/>
          <w:numId w:val="55"/>
        </w:numPr>
        <w:pBdr>
          <w:top w:val="nil"/>
          <w:left w:val="nil"/>
          <w:bottom w:val="nil"/>
          <w:right w:val="nil"/>
          <w:between w:val="nil"/>
        </w:pBdr>
        <w:spacing w:after="0"/>
        <w:ind w:left="450" w:hanging="180"/>
        <w:jc w:val="both"/>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Order of the Minister of Labor, Health and Social Affairs of Georgia</w:t>
      </w:r>
      <w:r>
        <w:rPr>
          <w:rFonts w:ascii="Times New Roman" w:eastAsia="Times New Roman" w:hAnsi="Times New Roman" w:cs="Times New Roman"/>
          <w:color w:val="000000"/>
        </w:rPr>
        <w:t xml:space="preserve"> (No. 297/</w:t>
      </w:r>
      <w:sdt>
        <w:sdtPr>
          <w:tag w:val="goog_rdk_71"/>
          <w:id w:val="-973203015"/>
        </w:sdtPr>
        <w:sdtContent>
          <w:r>
            <w:rPr>
              <w:rFonts w:ascii="Arial Unicode MS" w:eastAsia="Arial Unicode MS" w:hAnsi="Arial Unicode MS" w:cs="Arial Unicode MS"/>
              <w:color w:val="000000"/>
            </w:rPr>
            <w:t>ნ</w:t>
          </w:r>
        </w:sdtContent>
      </w:sdt>
      <w:r>
        <w:rPr>
          <w:rFonts w:ascii="Times New Roman" w:eastAsia="Times New Roman" w:hAnsi="Times New Roman" w:cs="Times New Roman"/>
          <w:color w:val="000000"/>
        </w:rPr>
        <w:t xml:space="preserve">, dated 2001, last amended in 2007) </w:t>
      </w:r>
      <w:r>
        <w:rPr>
          <w:rFonts w:ascii="Times New Roman" w:eastAsia="Times New Roman" w:hAnsi="Times New Roman" w:cs="Times New Roman"/>
          <w:b/>
          <w:i/>
          <w:color w:val="000000"/>
        </w:rPr>
        <w:t>on Approving Qualitative Norms of Environment</w:t>
      </w:r>
      <w:r>
        <w:rPr>
          <w:rFonts w:ascii="Times New Roman" w:eastAsia="Times New Roman" w:hAnsi="Times New Roman" w:cs="Times New Roman"/>
          <w:color w:val="000000"/>
        </w:rPr>
        <w:t xml:space="preserve"> defines multiple requirements relevant to community health and safety. These include issues related to: (i) the quality of marine coastal waters in the areas of water used by the population; (ii) the establishment and maintenance of protection zones around surface-water bodies used for municipal and industrial water supplies; (iii) the maximum permitted levels of pollutants in the atmospheric air within settlements; and (iv) the allowable levels of human exposure to electromagnetic fields, to noise and vibration at the workplace, within settlements, and in the interior of residential and public buildings, among others.  </w:t>
      </w:r>
    </w:p>
    <w:sdt>
      <w:sdtPr>
        <w:tag w:val="goog_rdk_79"/>
        <w:id w:val="-1230606335"/>
      </w:sdtPr>
      <w:sdtContent>
        <w:p w14:paraId="000000CD" w14:textId="77777777" w:rsidR="009F1887" w:rsidRDefault="00790D5B">
          <w:pPr>
            <w:numPr>
              <w:ilvl w:val="0"/>
              <w:numId w:val="55"/>
            </w:numPr>
            <w:pBdr>
              <w:top w:val="nil"/>
              <w:left w:val="nil"/>
              <w:bottom w:val="nil"/>
              <w:right w:val="nil"/>
              <w:between w:val="nil"/>
            </w:pBdr>
            <w:spacing w:after="0"/>
            <w:ind w:left="450" w:hanging="180"/>
            <w:jc w:val="both"/>
            <w:rPr>
              <w:ins w:id="143" w:author="Giorgi Kobaladze" w:date="2020-07-17T06:26:00Z"/>
              <w:rFonts w:ascii="Times New Roman" w:eastAsia="Times New Roman" w:hAnsi="Times New Roman" w:cs="Times New Roman"/>
              <w:color w:val="000000"/>
            </w:rPr>
          </w:pPr>
          <w:r>
            <w:rPr>
              <w:rFonts w:ascii="Times New Roman" w:eastAsia="Times New Roman" w:hAnsi="Times New Roman" w:cs="Times New Roman"/>
              <w:b/>
              <w:i/>
              <w:color w:val="000000"/>
            </w:rPr>
            <w:t>Ordinance of Government of Georgia on Medical Waste Management</w:t>
          </w:r>
          <w:r>
            <w:rPr>
              <w:rFonts w:ascii="Times New Roman" w:eastAsia="Times New Roman" w:hAnsi="Times New Roman" w:cs="Times New Roman"/>
              <w:color w:val="000000"/>
            </w:rPr>
            <w:t xml:space="preserve"> (No.294, dated 3017) </w:t>
          </w:r>
          <w:r>
            <w:rPr>
              <w:rFonts w:ascii="Times New Roman" w:eastAsia="Times New Roman" w:hAnsi="Times New Roman" w:cs="Times New Roman"/>
              <w:color w:val="333333"/>
              <w:highlight w:val="white"/>
            </w:rPr>
            <w:t>defines basis legal provisions related to the ordinance and details on (i) terms and classification of medical waste; (ii) roles and responsibilities in medical waste management; (iii) medical waste management planning requirements at medical facilities; (iv) rules for collection and storage of medical waste; (v) transportation of medical waste; (vi) management of waste water discharge by a medical facilities; (vii) processing medical waste. In connection to this ordinance, a</w:t>
          </w:r>
          <w:sdt>
            <w:sdtPr>
              <w:tag w:val="goog_rdk_72"/>
              <w:id w:val="340597186"/>
            </w:sdtPr>
            <w:sdtContent>
              <w:r>
                <w:rPr>
                  <w:rFonts w:ascii="Times New Roman" w:eastAsia="Times New Roman" w:hAnsi="Times New Roman" w:cs="Times New Roman"/>
                  <w:color w:val="333333"/>
                  <w:shd w:val="clear" w:color="auto" w:fill="FEFEFE"/>
                  <w:rPrChange w:id="144" w:author="Giorgi Kobaladze" w:date="2020-07-17T06:26:00Z">
                    <w:rPr>
                      <w:rFonts w:ascii="Times New Roman" w:eastAsia="Times New Roman" w:hAnsi="Times New Roman" w:cs="Times New Roman"/>
                      <w:color w:val="333333"/>
                      <w:highlight w:val="white"/>
                    </w:rPr>
                  </w:rPrChange>
                </w:rPr>
                <w:t xml:space="preserve"> </w:t>
              </w:r>
            </w:sdtContent>
          </w:sdt>
          <w:sdt>
            <w:sdtPr>
              <w:tag w:val="goog_rdk_73"/>
              <w:id w:val="-1830127157"/>
            </w:sdtPr>
            <w:sdtContent>
              <w:sdt>
                <w:sdtPr>
                  <w:tag w:val="goog_rdk_74"/>
                  <w:id w:val="-2065168006"/>
                </w:sdtPr>
                <w:sdtContent>
                  <w:ins w:id="145" w:author="Giorgi Kobaladze" w:date="2020-07-17T06:26:00Z">
                    <w:r>
                      <w:rPr>
                        <w:rFonts w:ascii="Times New Roman" w:eastAsia="Times New Roman" w:hAnsi="Times New Roman" w:cs="Times New Roman"/>
                        <w:color w:val="333333"/>
                        <w:shd w:val="clear" w:color="auto" w:fill="FEFEFE"/>
                        <w:rPrChange w:id="146" w:author="Giorgi Kobaladze" w:date="2020-07-17T06:26:00Z">
                          <w:rPr>
                            <w:rFonts w:ascii="Times New Roman" w:eastAsia="Times New Roman" w:hAnsi="Times New Roman" w:cs="Times New Roman"/>
                            <w:color w:val="333333"/>
                            <w:highlight w:val="white"/>
                          </w:rPr>
                        </w:rPrChange>
                      </w:rPr>
                      <w:t>·</w:t>
                    </w:r>
                  </w:ins>
                </w:sdtContent>
              </w:sdt>
              <w:customXmlInsRangeStart w:id="147" w:author="Giorgi Kobaladze" w:date="2020-07-17T06:26:00Z"/>
              <w:sdt>
                <w:sdtPr>
                  <w:tag w:val="goog_rdk_75"/>
                  <w:id w:val="-896670339"/>
                </w:sdtPr>
                <w:sdtContent>
                  <w:customXmlInsRangeEnd w:id="147"/>
                  <w:ins w:id="148" w:author="Giorgi Kobaladze" w:date="2020-07-17T06:26:00Z">
                    <w:r>
                      <w:rPr>
                        <w:rFonts w:ascii="Times New Roman" w:eastAsia="Times New Roman" w:hAnsi="Times New Roman" w:cs="Times New Roman"/>
                        <w:color w:val="333333"/>
                        <w:shd w:val="clear" w:color="auto" w:fill="FEFEFE"/>
                        <w:rPrChange w:id="149" w:author="Giorgi Kobaladze" w:date="2020-07-17T06:26:00Z">
                          <w:rPr>
                            <w:rFonts w:ascii="Times New Roman" w:eastAsia="Times New Roman" w:hAnsi="Times New Roman" w:cs="Times New Roman"/>
                            <w:color w:val="333333"/>
                            <w:highlight w:val="white"/>
                          </w:rPr>
                        </w:rPrChange>
                      </w:rPr>
                      <w:t xml:space="preserve">   </w:t>
                    </w:r>
                  </w:ins>
                  <w:customXmlInsRangeStart w:id="150" w:author="Giorgi Kobaladze" w:date="2020-07-17T06:26:00Z"/>
                </w:sdtContent>
              </w:sdt>
              <w:customXmlInsRangeEnd w:id="150"/>
              <w:customXmlInsRangeStart w:id="151" w:author="Giorgi Kobaladze" w:date="2020-07-17T06:26:00Z"/>
              <w:sdt>
                <w:sdtPr>
                  <w:tag w:val="goog_rdk_76"/>
                  <w:id w:val="1413823658"/>
                </w:sdtPr>
                <w:sdtContent>
                  <w:customXmlInsRangeEnd w:id="151"/>
                  <w:ins w:id="152" w:author="Giorgi Kobaladze" w:date="2020-07-17T06:26:00Z">
                    <w:r>
                      <w:rPr>
                        <w:rFonts w:ascii="Times New Roman" w:eastAsia="Times New Roman" w:hAnsi="Times New Roman" w:cs="Times New Roman"/>
                        <w:color w:val="333333"/>
                        <w:shd w:val="clear" w:color="auto" w:fill="FEFEFE"/>
                        <w:rPrChange w:id="153" w:author="Giorgi Kobaladze" w:date="2020-07-17T06:26:00Z">
                          <w:rPr>
                            <w:rFonts w:ascii="Times New Roman" w:eastAsia="Times New Roman" w:hAnsi="Times New Roman" w:cs="Times New Roman"/>
                            <w:color w:val="333333"/>
                            <w:highlight w:val="white"/>
                          </w:rPr>
                        </w:rPrChange>
                      </w:rPr>
                      <w:t xml:space="preserve">5 year national plan is developing by MEPA </w:t>
                    </w:r>
                  </w:ins>
                  <w:customXmlInsRangeStart w:id="154" w:author="Giorgi Kobaladze" w:date="2020-07-17T06:26:00Z"/>
                </w:sdtContent>
              </w:sdt>
              <w:customXmlInsRangeEnd w:id="154"/>
              <w:customXmlInsRangeStart w:id="155" w:author="Giorgi Kobaladze" w:date="2020-07-17T06:26:00Z"/>
              <w:sdt>
                <w:sdtPr>
                  <w:tag w:val="goog_rdk_77"/>
                  <w:id w:val="-1546987586"/>
                </w:sdtPr>
                <w:sdtContent>
                  <w:customXmlInsRangeEnd w:id="155"/>
                  <w:ins w:id="156" w:author="Giorgi Kobaladze" w:date="2020-07-17T06:26:00Z">
                    <w:r>
                      <w:rPr>
                        <w:rFonts w:ascii="Times New Roman" w:eastAsia="Times New Roman" w:hAnsi="Times New Roman" w:cs="Times New Roman"/>
                        <w:color w:val="333333"/>
                        <w:shd w:val="clear" w:color="auto" w:fill="FEFEFE"/>
                        <w:rPrChange w:id="157" w:author="Giorgi Kobaladze" w:date="2020-07-17T06:26:00Z">
                          <w:rPr>
                            <w:rFonts w:ascii="Times New Roman" w:eastAsia="Times New Roman" w:hAnsi="Times New Roman" w:cs="Times New Roman"/>
                            <w:color w:val="333333"/>
                            <w:highlight w:val="white"/>
                          </w:rPr>
                        </w:rPrChange>
                      </w:rPr>
                      <w:t xml:space="preserve">[A1] </w:t>
                    </w:r>
                  </w:ins>
                  <w:customXmlInsRangeStart w:id="158" w:author="Giorgi Kobaladze" w:date="2020-07-17T06:26:00Z"/>
                </w:sdtContent>
              </w:sdt>
              <w:customXmlInsRangeEnd w:id="158"/>
              <w:customXmlInsRangeStart w:id="159" w:author="Giorgi Kobaladze" w:date="2020-07-17T06:26:00Z"/>
              <w:sdt>
                <w:sdtPr>
                  <w:tag w:val="goog_rdk_78"/>
                  <w:id w:val="-147522703"/>
                </w:sdtPr>
                <w:sdtContent>
                  <w:customXmlInsRangeEnd w:id="159"/>
                  <w:ins w:id="160" w:author="Giorgi Kobaladze" w:date="2020-07-17T06:26:00Z">
                    <w:r>
                      <w:rPr>
                        <w:rFonts w:ascii="Times New Roman" w:eastAsia="Times New Roman" w:hAnsi="Times New Roman" w:cs="Times New Roman"/>
                        <w:color w:val="333333"/>
                        <w:shd w:val="clear" w:color="auto" w:fill="FEFEFE"/>
                        <w:rPrChange w:id="161" w:author="Giorgi Kobaladze" w:date="2020-07-17T06:26:00Z">
                          <w:rPr>
                            <w:rFonts w:ascii="Times New Roman" w:eastAsia="Times New Roman" w:hAnsi="Times New Roman" w:cs="Times New Roman"/>
                            <w:color w:val="333333"/>
                            <w:highlight w:val="white"/>
                          </w:rPr>
                        </w:rPrChange>
                      </w:rPr>
                      <w:t>for management of septic sediments generated through medical wastewater treatment.+</w:t>
                    </w:r>
                  </w:ins>
                  <w:customXmlInsRangeStart w:id="162" w:author="Giorgi Kobaladze" w:date="2020-07-17T06:26:00Z"/>
                </w:sdtContent>
              </w:sdt>
              <w:customXmlInsRangeEnd w:id="162"/>
            </w:sdtContent>
          </w:sdt>
        </w:p>
      </w:sdtContent>
    </w:sdt>
    <w:sdt>
      <w:sdtPr>
        <w:tag w:val="goog_rdk_81"/>
        <w:id w:val="-97640913"/>
      </w:sdtPr>
      <w:sdtContent>
        <w:p w14:paraId="000000CE" w14:textId="77777777" w:rsidR="009F1887" w:rsidRDefault="00EC15FD">
          <w:pPr>
            <w:pBdr>
              <w:top w:val="nil"/>
              <w:left w:val="nil"/>
              <w:bottom w:val="nil"/>
              <w:right w:val="nil"/>
              <w:between w:val="nil"/>
            </w:pBdr>
            <w:spacing w:after="0"/>
            <w:ind w:left="720"/>
            <w:jc w:val="both"/>
            <w:rPr>
              <w:ins w:id="163" w:author="Giorgi Kobaladze" w:date="2020-07-17T06:26:00Z"/>
              <w:rFonts w:ascii="Times New Roman" w:eastAsia="Times New Roman" w:hAnsi="Times New Roman" w:cs="Times New Roman"/>
              <w:color w:val="333333"/>
              <w:highlight w:val="white"/>
            </w:rPr>
          </w:pPr>
          <w:sdt>
            <w:sdtPr>
              <w:tag w:val="goog_rdk_80"/>
              <w:id w:val="-209197361"/>
            </w:sdtPr>
            <w:sdtContent>
              <w:ins w:id="164" w:author="Giorgi Kobaladze" w:date="2020-07-17T06:26:00Z">
                <w:r>
                  <w:pict w14:anchorId="2A2F7DBB">
                    <v:rect id="_x0000_i1025" style="width:0;height:1.5pt" o:hralign="center" o:hrstd="t" o:hr="t" fillcolor="#a0a0a0" stroked="f"/>
                  </w:pict>
                </w:r>
              </w:ins>
            </w:sdtContent>
          </w:sdt>
        </w:p>
      </w:sdtContent>
    </w:sdt>
    <w:sdt>
      <w:sdtPr>
        <w:tag w:val="goog_rdk_83"/>
        <w:id w:val="-341938610"/>
      </w:sdtPr>
      <w:sdtContent>
        <w:p w14:paraId="000000CF" w14:textId="77777777" w:rsidR="009F1887" w:rsidRDefault="00EC15FD">
          <w:pPr>
            <w:numPr>
              <w:ilvl w:val="0"/>
              <w:numId w:val="55"/>
            </w:numPr>
            <w:spacing w:before="240" w:after="240"/>
            <w:jc w:val="both"/>
            <w:rPr>
              <w:ins w:id="165" w:author="Giorgi Kobaladze" w:date="2020-07-17T06:26:00Z"/>
              <w:rFonts w:ascii="Times New Roman" w:eastAsia="Times New Roman" w:hAnsi="Times New Roman" w:cs="Times New Roman"/>
            </w:rPr>
          </w:pPr>
          <w:sdt>
            <w:sdtPr>
              <w:tag w:val="goog_rdk_82"/>
              <w:id w:val="1059971747"/>
            </w:sdtPr>
            <w:sdtContent>
              <w:ins w:id="166" w:author="Giorgi Kobaladze" w:date="2020-07-17T06:26:00Z">
                <w:r w:rsidR="00790D5B">
                  <w:rPr>
                    <w:rFonts w:ascii="Times New Roman" w:eastAsia="Times New Roman" w:hAnsi="Times New Roman" w:cs="Times New Roman"/>
                    <w:color w:val="333333"/>
                    <w:highlight w:val="white"/>
                  </w:rPr>
                  <w:t xml:space="preserve"> [A1]Developed by whom? Approved by whom? For what period of time?</w:t>
                </w:r>
              </w:ins>
            </w:sdtContent>
          </w:sdt>
        </w:p>
      </w:sdtContent>
    </w:sdt>
    <w:sdt>
      <w:sdtPr>
        <w:tag w:val="goog_rdk_88"/>
        <w:id w:val="1795474699"/>
      </w:sdtPr>
      <w:sdtContent>
        <w:p w14:paraId="000000D0" w14:textId="77777777" w:rsidR="009F1887" w:rsidRPr="009F1887" w:rsidRDefault="00EC15FD">
          <w:pPr>
            <w:numPr>
              <w:ilvl w:val="0"/>
              <w:numId w:val="55"/>
            </w:numPr>
            <w:pBdr>
              <w:top w:val="nil"/>
              <w:left w:val="nil"/>
              <w:bottom w:val="nil"/>
              <w:right w:val="nil"/>
              <w:between w:val="nil"/>
            </w:pBdr>
            <w:spacing w:after="0"/>
            <w:ind w:left="450" w:hanging="180"/>
            <w:jc w:val="both"/>
            <w:rPr>
              <w:rFonts w:ascii="Times New Roman" w:eastAsia="Times New Roman" w:hAnsi="Times New Roman" w:cs="Times New Roman"/>
              <w:color w:val="333333"/>
              <w:highlight w:val="white"/>
              <w:rPrChange w:id="167" w:author="Giorgi Kobaladze" w:date="2020-07-17T06:26:00Z">
                <w:rPr>
                  <w:rFonts w:ascii="Times New Roman" w:eastAsia="Times New Roman" w:hAnsi="Times New Roman" w:cs="Times New Roman"/>
                  <w:color w:val="000000"/>
                </w:rPr>
              </w:rPrChange>
            </w:rPr>
          </w:pPr>
          <w:sdt>
            <w:sdtPr>
              <w:tag w:val="goog_rdk_85"/>
              <w:id w:val="113028346"/>
            </w:sdtPr>
            <w:sdtContent>
              <w:sdt>
                <w:sdtPr>
                  <w:tag w:val="goog_rdk_86"/>
                  <w:id w:val="-253667536"/>
                </w:sdtPr>
                <w:sdtContent>
                  <w:commentRangeStart w:id="168"/>
                </w:sdtContent>
              </w:sdt>
              <w:del w:id="169" w:author="Giorgi Kobaladze" w:date="2020-07-17T06:26:00Z">
                <w:r w:rsidR="00790D5B">
                  <w:rPr>
                    <w:rFonts w:ascii="Times New Roman" w:eastAsia="Times New Roman" w:hAnsi="Times New Roman" w:cs="Times New Roman"/>
                    <w:color w:val="333333"/>
                    <w:highlight w:val="white"/>
                  </w:rPr>
                  <w:delText xml:space="preserve">national plan is developed </w:delText>
                </w:r>
                <w:commentRangeEnd w:id="168"/>
                <w:r w:rsidR="00790D5B">
                  <w:commentReference w:id="168"/>
                </w:r>
                <w:r w:rsidR="00790D5B">
                  <w:rPr>
                    <w:rFonts w:ascii="Times New Roman" w:eastAsia="Times New Roman" w:hAnsi="Times New Roman" w:cs="Times New Roman"/>
                    <w:color w:val="333333"/>
                    <w:highlight w:val="white"/>
                  </w:rPr>
                  <w:delText>for management of septic sediments generated through medical wastewater treatment.</w:delText>
                </w:r>
              </w:del>
            </w:sdtContent>
          </w:sdt>
          <w:sdt>
            <w:sdtPr>
              <w:tag w:val="goog_rdk_87"/>
              <w:id w:val="1280532241"/>
            </w:sdtPr>
            <w:sdtContent/>
          </w:sdt>
        </w:p>
      </w:sdtContent>
    </w:sdt>
    <w:p w14:paraId="000000D1" w14:textId="77777777" w:rsidR="009F1887" w:rsidRDefault="00790D5B">
      <w:pPr>
        <w:numPr>
          <w:ilvl w:val="0"/>
          <w:numId w:val="55"/>
        </w:numPr>
        <w:pBdr>
          <w:top w:val="nil"/>
          <w:left w:val="nil"/>
          <w:bottom w:val="nil"/>
          <w:right w:val="nil"/>
          <w:between w:val="nil"/>
        </w:pBdr>
        <w:spacing w:after="0"/>
        <w:ind w:left="450" w:hanging="180"/>
        <w:jc w:val="both"/>
        <w:rPr>
          <w:rFonts w:ascii="Times New Roman" w:eastAsia="Times New Roman" w:hAnsi="Times New Roman" w:cs="Times New Roman"/>
          <w:color w:val="000000"/>
        </w:rPr>
      </w:pPr>
      <w:r>
        <w:rPr>
          <w:rFonts w:ascii="Times New Roman" w:eastAsia="Times New Roman" w:hAnsi="Times New Roman" w:cs="Times New Roman"/>
          <w:b/>
          <w:i/>
          <w:color w:val="000000"/>
        </w:rPr>
        <w:t>Ordinance of the Government of Georgia</w:t>
      </w:r>
      <w:r>
        <w:rPr>
          <w:rFonts w:ascii="Times New Roman" w:eastAsia="Times New Roman" w:hAnsi="Times New Roman" w:cs="Times New Roman"/>
          <w:color w:val="000000"/>
        </w:rPr>
        <w:t xml:space="preserve"> (No. 58, dated 2014) ensures safety of drinking water through the approval of technical regulations on drinking water quality.</w:t>
      </w:r>
    </w:p>
    <w:p w14:paraId="000000D2" w14:textId="77777777" w:rsidR="009F1887" w:rsidRDefault="00790D5B">
      <w:pPr>
        <w:numPr>
          <w:ilvl w:val="0"/>
          <w:numId w:val="55"/>
        </w:numPr>
        <w:pBdr>
          <w:top w:val="nil"/>
          <w:left w:val="nil"/>
          <w:bottom w:val="nil"/>
          <w:right w:val="nil"/>
          <w:between w:val="nil"/>
        </w:pBdr>
        <w:spacing w:after="0"/>
        <w:ind w:left="450" w:hanging="180"/>
        <w:jc w:val="both"/>
        <w:rPr>
          <w:rFonts w:ascii="Times New Roman" w:eastAsia="Times New Roman" w:hAnsi="Times New Roman" w:cs="Times New Roman"/>
          <w:color w:val="000000"/>
        </w:rPr>
      </w:pPr>
      <w:r>
        <w:rPr>
          <w:rFonts w:ascii="Times New Roman" w:eastAsia="Times New Roman" w:hAnsi="Times New Roman" w:cs="Times New Roman"/>
          <w:b/>
          <w:i/>
          <w:color w:val="000000"/>
        </w:rPr>
        <w:t>Order of the Minister of Labor, Health and Social Affairs of Georgia</w:t>
      </w:r>
      <w:r>
        <w:rPr>
          <w:rFonts w:ascii="Times New Roman" w:eastAsia="Times New Roman" w:hAnsi="Times New Roman" w:cs="Times New Roman"/>
          <w:color w:val="000000"/>
        </w:rPr>
        <w:t xml:space="preserve"> (No. 133</w:t>
      </w:r>
      <w:sdt>
        <w:sdtPr>
          <w:tag w:val="goog_rdk_89"/>
          <w:id w:val="-1420088142"/>
        </w:sdtPr>
        <w:sdtContent>
          <w:r>
            <w:rPr>
              <w:rFonts w:ascii="Arial Unicode MS" w:eastAsia="Arial Unicode MS" w:hAnsi="Arial Unicode MS" w:cs="Arial Unicode MS"/>
              <w:color w:val="000000"/>
            </w:rPr>
            <w:t>ნ</w:t>
          </w:r>
        </w:sdtContent>
      </w:sdt>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dated 2001)</w:t>
      </w:r>
      <w:r>
        <w:rPr>
          <w:rFonts w:ascii="Times New Roman" w:eastAsia="Times New Roman" w:hAnsi="Times New Roman" w:cs="Times New Roman"/>
          <w:b/>
          <w:i/>
          <w:color w:val="000000"/>
        </w:rPr>
        <w:t xml:space="preserve"> on Approving the List of Hazardous Chemicals Banned for Production, Use, Import-Export or Subject to Strongly Restricted Use in the Territory of Georgia</w:t>
      </w:r>
      <w:r>
        <w:rPr>
          <w:rFonts w:ascii="Times New Roman" w:eastAsia="Times New Roman" w:hAnsi="Times New Roman" w:cs="Times New Roman"/>
          <w:color w:val="000000"/>
        </w:rPr>
        <w:t xml:space="preserve"> defines banned chemicals and materials. </w:t>
      </w:r>
    </w:p>
    <w:p w14:paraId="000000D3" w14:textId="77777777" w:rsidR="009F1887" w:rsidRDefault="00790D5B">
      <w:pPr>
        <w:numPr>
          <w:ilvl w:val="0"/>
          <w:numId w:val="55"/>
        </w:numPr>
        <w:pBdr>
          <w:top w:val="nil"/>
          <w:left w:val="nil"/>
          <w:bottom w:val="nil"/>
          <w:right w:val="nil"/>
          <w:between w:val="nil"/>
        </w:pBdr>
        <w:spacing w:after="240"/>
        <w:ind w:left="450" w:hanging="180"/>
        <w:jc w:val="both"/>
        <w:rPr>
          <w:rFonts w:ascii="Times New Roman" w:eastAsia="Times New Roman" w:hAnsi="Times New Roman" w:cs="Times New Roman"/>
          <w:color w:val="000000"/>
        </w:rPr>
      </w:pPr>
      <w:r>
        <w:rPr>
          <w:rFonts w:ascii="Times New Roman" w:eastAsia="Times New Roman" w:hAnsi="Times New Roman" w:cs="Times New Roman"/>
          <w:b/>
          <w:i/>
          <w:color w:val="000000"/>
        </w:rPr>
        <w:t>Ordinance of the Government of Georgia</w:t>
      </w:r>
      <w:r>
        <w:rPr>
          <w:rFonts w:ascii="Times New Roman" w:eastAsia="Times New Roman" w:hAnsi="Times New Roman" w:cs="Times New Roman"/>
          <w:color w:val="000000"/>
        </w:rPr>
        <w:t xml:space="preserve"> (No. 263, dated 2016) </w:t>
      </w:r>
      <w:r>
        <w:rPr>
          <w:rFonts w:ascii="Times New Roman" w:eastAsia="Times New Roman" w:hAnsi="Times New Roman" w:cs="Times New Roman"/>
          <w:b/>
          <w:i/>
          <w:color w:val="000000"/>
        </w:rPr>
        <w:t>on the Rules of Import-Export of Hazardous Substances and Pesticides and on the Procedures of Preliminary Consent</w:t>
      </w:r>
      <w:r>
        <w:rPr>
          <w:rFonts w:ascii="Times New Roman" w:eastAsia="Times New Roman" w:hAnsi="Times New Roman" w:cs="Times New Roman"/>
          <w:color w:val="000000"/>
        </w:rPr>
        <w:t xml:space="preserve"> establishes rules for the transboundary transportation of permitted hazardous chemicals and pesticides and carries the list of hazardous chemicals and pesticides banned for production, use, import, and export in the territory of Georgia based on the Stockholm Convention on Persistent Organic Pollutants.</w:t>
      </w:r>
    </w:p>
    <w:p w14:paraId="000000D4" w14:textId="77777777" w:rsidR="009F1887" w:rsidRDefault="00790D5B">
      <w:pPr>
        <w:spacing w:after="240"/>
        <w:ind w:left="270"/>
        <w:jc w:val="both"/>
        <w:rPr>
          <w:rFonts w:ascii="Times New Roman" w:eastAsia="Times New Roman" w:hAnsi="Times New Roman" w:cs="Times New Roman"/>
        </w:rPr>
      </w:pPr>
      <w:r>
        <w:rPr>
          <w:rFonts w:ascii="Times New Roman" w:eastAsia="Times New Roman" w:hAnsi="Times New Roman" w:cs="Times New Roman"/>
        </w:rPr>
        <w:t>Also, requirements of following procedures and technical regulations should be adhered to:</w:t>
      </w:r>
    </w:p>
    <w:p w14:paraId="000000D5"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Procedure for Carrying out Activities Connected to Nuclear Non-proliferation Safeguard, </w:t>
      </w:r>
      <w:sdt>
        <w:sdtPr>
          <w:tag w:val="goog_rdk_90"/>
          <w:id w:val="-107900849"/>
        </w:sdtPr>
        <w:sdtContent>
          <w:ins w:id="170" w:author="Giorgi Kobaladze" w:date="2020-07-17T06:27:00Z">
            <w:r>
              <w:rPr>
                <w:rFonts w:ascii="Times New Roman" w:eastAsia="Times New Roman" w:hAnsi="Times New Roman" w:cs="Times New Roman"/>
                <w:color w:val="000000"/>
              </w:rPr>
              <w:t>2016</w:t>
            </w:r>
          </w:ins>
        </w:sdtContent>
      </w:sdt>
      <w:sdt>
        <w:sdtPr>
          <w:tag w:val="goog_rdk_91"/>
          <w:id w:val="-922869411"/>
        </w:sdtPr>
        <w:sdtContent>
          <w:sdt>
            <w:sdtPr>
              <w:tag w:val="goog_rdk_92"/>
              <w:id w:val="-1767377975"/>
            </w:sdtPr>
            <w:sdtContent>
              <w:commentRangeStart w:id="171"/>
            </w:sdtContent>
          </w:sdt>
          <w:del w:id="172" w:author="Giorgi Kobaladze" w:date="2020-07-17T06:27:00Z">
            <w:r>
              <w:rPr>
                <w:rFonts w:ascii="Times New Roman" w:eastAsia="Times New Roman" w:hAnsi="Times New Roman" w:cs="Times New Roman"/>
                <w:color w:val="000000"/>
              </w:rPr>
              <w:delText>XXXX</w:delText>
            </w:r>
          </w:del>
        </w:sdtContent>
      </w:sdt>
      <w:commentRangeEnd w:id="171"/>
      <w:r>
        <w:commentReference w:id="171"/>
      </w:r>
      <w:r>
        <w:rPr>
          <w:rFonts w:ascii="Times New Roman" w:eastAsia="Times New Roman" w:hAnsi="Times New Roman" w:cs="Times New Roman"/>
          <w:color w:val="000000"/>
        </w:rPr>
        <w:t xml:space="preserve"> </w:t>
      </w:r>
    </w:p>
    <w:sdt>
      <w:sdtPr>
        <w:tag w:val="goog_rdk_96"/>
        <w:id w:val="-580290981"/>
      </w:sdtPr>
      <w:sdtContent>
        <w:p w14:paraId="000000D6" w14:textId="77777777" w:rsidR="009F1887" w:rsidRDefault="00790D5B">
          <w:pPr>
            <w:numPr>
              <w:ilvl w:val="0"/>
              <w:numId w:val="55"/>
            </w:numPr>
            <w:pBdr>
              <w:top w:val="nil"/>
              <w:left w:val="nil"/>
              <w:bottom w:val="nil"/>
              <w:right w:val="nil"/>
              <w:between w:val="nil"/>
            </w:pBdr>
            <w:spacing w:after="0"/>
            <w:ind w:right="360"/>
            <w:rPr>
              <w:ins w:id="173" w:author="Giorgi Kobaladze" w:date="2020-07-17T06:27:00Z"/>
              <w:rFonts w:ascii="Times New Roman" w:eastAsia="Times New Roman" w:hAnsi="Times New Roman" w:cs="Times New Roman"/>
              <w:color w:val="000000"/>
            </w:rPr>
          </w:pPr>
          <w:r>
            <w:rPr>
              <w:rFonts w:ascii="Times New Roman" w:eastAsia="Times New Roman" w:hAnsi="Times New Roman" w:cs="Times New Roman"/>
              <w:color w:val="000000"/>
            </w:rPr>
            <w:t>Technical regulation</w:t>
          </w:r>
          <w:sdt>
            <w:sdtPr>
              <w:tag w:val="goog_rdk_93"/>
              <w:id w:val="-1097554384"/>
            </w:sdtPr>
            <w:sdtContent>
              <w:ins w:id="174" w:author="Giorgi Kobaladze" w:date="2020-07-17T06:27:00Z">
                <w:r>
                  <w:rPr>
                    <w:rFonts w:ascii="Times New Roman" w:eastAsia="Times New Roman" w:hAnsi="Times New Roman" w:cs="Times New Roman"/>
                    <w:color w:val="000000"/>
                  </w:rPr>
                  <w:t xml:space="preserve"> on</w:t>
                </w:r>
              </w:ins>
            </w:sdtContent>
          </w:sdt>
          <w:sdt>
            <w:sdtPr>
              <w:tag w:val="goog_rdk_94"/>
              <w:id w:val="-212278829"/>
            </w:sdtPr>
            <w:sdtContent>
              <w:del w:id="175" w:author="Giorgi Kobaladze" w:date="2020-07-17T06:27:00Z">
                <w:r>
                  <w:rPr>
                    <w:rFonts w:ascii="Times New Roman" w:eastAsia="Times New Roman" w:hAnsi="Times New Roman" w:cs="Times New Roman"/>
                    <w:color w:val="000000"/>
                  </w:rPr>
                  <w:delText xml:space="preserve"> </w:delText>
                </w:r>
              </w:del>
            </w:sdtContent>
          </w:sdt>
          <w:sdt>
            <w:sdtPr>
              <w:tag w:val="goog_rdk_95"/>
              <w:id w:val="-1106734536"/>
            </w:sdtPr>
            <w:sdtContent>
              <w:ins w:id="176" w:author="Giorgi Kobaladze" w:date="2020-07-17T06:27:00Z">
                <w:r>
                  <w:rPr>
                    <w:rFonts w:ascii="Times New Roman" w:eastAsia="Times New Roman" w:hAnsi="Times New Roman" w:cs="Times New Roman"/>
                    <w:color w:val="000000"/>
                  </w:rPr>
                  <w:t xml:space="preserve">  Physical Security (protection) of Nuclear and Radiation Facilities, Radioactive Sources and Waste, and Other Sources of Ionizing Radiation 2016</w:t>
                </w:r>
              </w:ins>
            </w:sdtContent>
          </w:sdt>
        </w:p>
      </w:sdtContent>
    </w:sdt>
    <w:p w14:paraId="000000D7" w14:textId="77777777" w:rsidR="009F1887" w:rsidRDefault="00EC15FD">
      <w:pPr>
        <w:numPr>
          <w:ilvl w:val="0"/>
          <w:numId w:val="55"/>
        </w:numPr>
        <w:pBdr>
          <w:top w:val="nil"/>
          <w:left w:val="nil"/>
          <w:bottom w:val="nil"/>
          <w:right w:val="nil"/>
          <w:between w:val="nil"/>
        </w:pBdr>
        <w:spacing w:after="0"/>
        <w:ind w:right="360"/>
        <w:rPr>
          <w:rFonts w:ascii="Times New Roman" w:eastAsia="Times New Roman" w:hAnsi="Times New Roman" w:cs="Times New Roman"/>
          <w:color w:val="000000"/>
        </w:rPr>
      </w:pPr>
      <w:sdt>
        <w:sdtPr>
          <w:tag w:val="goog_rdk_98"/>
          <w:id w:val="1401251786"/>
        </w:sdtPr>
        <w:sdtContent>
          <w:sdt>
            <w:sdtPr>
              <w:tag w:val="goog_rdk_99"/>
              <w:id w:val="-818804437"/>
            </w:sdtPr>
            <w:sdtContent>
              <w:commentRangeStart w:id="177"/>
            </w:sdtContent>
          </w:sdt>
          <w:del w:id="178" w:author="Giorgi Kobaladze" w:date="2020-07-17T06:27:00Z">
            <w:r w:rsidR="00790D5B">
              <w:rPr>
                <w:rFonts w:ascii="Times New Roman" w:eastAsia="Times New Roman" w:hAnsi="Times New Roman" w:cs="Times New Roman"/>
                <w:color w:val="000000"/>
              </w:rPr>
              <w:delText xml:space="preserve">on </w:delText>
            </w:r>
            <w:commentRangeEnd w:id="177"/>
            <w:r w:rsidR="00790D5B">
              <w:commentReference w:id="177"/>
            </w:r>
            <w:r w:rsidR="00790D5B">
              <w:rPr>
                <w:rFonts w:ascii="Times New Roman" w:eastAsia="Times New Roman" w:hAnsi="Times New Roman" w:cs="Times New Roman"/>
                <w:color w:val="000000"/>
              </w:rPr>
              <w:delText>Physical Security (Protection) of Nuclear and Radiation Facilities, Radioactive Sources and </w:delText>
            </w:r>
          </w:del>
        </w:sdtContent>
      </w:sdt>
      <w:r w:rsidR="00790D5B">
        <w:rPr>
          <w:rFonts w:ascii="Times New Roman" w:eastAsia="Times New Roman" w:hAnsi="Times New Roman" w:cs="Times New Roman"/>
          <w:color w:val="000000"/>
        </w:rPr>
        <w:t>Waste, and Other Sources of Ionizing Radiation 2016</w:t>
      </w:r>
    </w:p>
    <w:p w14:paraId="000000D8"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Form of Reporting on Complying with Licence </w:t>
      </w:r>
      <w:sdt>
        <w:sdtPr>
          <w:tag w:val="goog_rdk_100"/>
          <w:id w:val="436345683"/>
        </w:sdtPr>
        <w:sdtContent>
          <w:ins w:id="179" w:author="Giorgi Kobaladze" w:date="2020-07-17T06:58:00Z">
            <w:r>
              <w:rPr>
                <w:rFonts w:ascii="Times New Roman" w:eastAsia="Times New Roman" w:hAnsi="Times New Roman" w:cs="Times New Roman"/>
                <w:color w:val="000000"/>
              </w:rPr>
              <w:t>Requirements</w:t>
            </w:r>
          </w:ins>
        </w:sdtContent>
      </w:sdt>
      <w:sdt>
        <w:sdtPr>
          <w:tag w:val="goog_rdk_101"/>
          <w:id w:val="-1770837179"/>
        </w:sdtPr>
        <w:sdtContent>
          <w:del w:id="180" w:author="Giorgi Kobaladze" w:date="2020-07-17T06:58:00Z">
            <w:r>
              <w:rPr>
                <w:rFonts w:ascii="Times New Roman" w:eastAsia="Times New Roman" w:hAnsi="Times New Roman" w:cs="Times New Roman"/>
                <w:color w:val="000000"/>
              </w:rPr>
              <w:delText>Requirments</w:delText>
            </w:r>
          </w:del>
        </w:sdtContent>
      </w:sdt>
      <w:r>
        <w:rPr>
          <w:rFonts w:ascii="Times New Roman" w:eastAsia="Times New Roman" w:hAnsi="Times New Roman" w:cs="Times New Roman"/>
          <w:color w:val="000000"/>
        </w:rPr>
        <w:t> for Nuclear and Radiation Activities 2016</w:t>
      </w:r>
    </w:p>
    <w:p w14:paraId="000000D9"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Technical regulation on Radiation Safety Requirements for Medical Radiation, 2015</w:t>
      </w:r>
    </w:p>
    <w:p w14:paraId="000000DA"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Technical regulation on Procedure for Transportation of Nuclear and Radioactive Substances, 2016</w:t>
      </w:r>
    </w:p>
    <w:p w14:paraId="000000DB"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Technical regulation on Radiation Safety Standards and Basic Requirements for Handling Source of Ionising Radiation, 2016 </w:t>
      </w:r>
    </w:p>
    <w:p w14:paraId="000000DC"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Technical regulation on disinfection and sterilization procedures at medical facilities, 2015</w:t>
      </w:r>
    </w:p>
    <w:p w14:paraId="000000DD"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Order of the Minister of Labor, Health and Social Affairs of Georgia on nosocomial infections control system at medical facilities, </w:t>
      </w:r>
      <w:sdt>
        <w:sdtPr>
          <w:tag w:val="goog_rdk_102"/>
          <w:id w:val="1252936390"/>
        </w:sdtPr>
        <w:sdtContent>
          <w:ins w:id="181" w:author="Giorgi Kobaladze" w:date="2020-07-17T06:28:00Z">
            <w:r>
              <w:rPr>
                <w:rFonts w:ascii="Times New Roman" w:eastAsia="Times New Roman" w:hAnsi="Times New Roman" w:cs="Times New Roman"/>
                <w:color w:val="000000"/>
              </w:rPr>
              <w:t>2015</w:t>
            </w:r>
          </w:ins>
        </w:sdtContent>
      </w:sdt>
      <w:sdt>
        <w:sdtPr>
          <w:tag w:val="goog_rdk_103"/>
          <w:id w:val="56760713"/>
        </w:sdtPr>
        <w:sdtContent>
          <w:sdt>
            <w:sdtPr>
              <w:tag w:val="goog_rdk_104"/>
              <w:id w:val="-806084356"/>
            </w:sdtPr>
            <w:sdtContent>
              <w:commentRangeStart w:id="182"/>
            </w:sdtContent>
          </w:sdt>
          <w:del w:id="183" w:author="Giorgi Kobaladze" w:date="2020-07-17T06:28:00Z">
            <w:r>
              <w:rPr>
                <w:rFonts w:ascii="Times New Roman" w:eastAsia="Times New Roman" w:hAnsi="Times New Roman" w:cs="Times New Roman"/>
                <w:color w:val="000000"/>
              </w:rPr>
              <w:delText>XXXX</w:delText>
            </w:r>
            <w:commentRangeEnd w:id="182"/>
            <w:r>
              <w:commentReference w:id="182"/>
            </w:r>
            <w:r>
              <w:rPr>
                <w:rFonts w:ascii="Times New Roman" w:eastAsia="Times New Roman" w:hAnsi="Times New Roman" w:cs="Times New Roman"/>
                <w:color w:val="000000"/>
              </w:rPr>
              <w:delText xml:space="preserve"> </w:delText>
            </w:r>
          </w:del>
        </w:sdtContent>
      </w:sdt>
    </w:p>
    <w:p w14:paraId="000000DE" w14:textId="77777777" w:rsidR="009F1887" w:rsidRDefault="00790D5B">
      <w:pPr>
        <w:numPr>
          <w:ilvl w:val="0"/>
          <w:numId w:val="5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Technical regulation on Drinking Water, 2014</w:t>
      </w:r>
    </w:p>
    <w:p w14:paraId="000000DF" w14:textId="77777777" w:rsidR="009F1887" w:rsidRDefault="009F1887">
      <w:pPr>
        <w:pBdr>
          <w:top w:val="nil"/>
          <w:left w:val="nil"/>
          <w:bottom w:val="nil"/>
          <w:right w:val="nil"/>
          <w:between w:val="nil"/>
        </w:pBdr>
        <w:spacing w:after="240"/>
        <w:ind w:left="450"/>
        <w:jc w:val="both"/>
        <w:rPr>
          <w:rFonts w:ascii="Times New Roman" w:eastAsia="Times New Roman" w:hAnsi="Times New Roman" w:cs="Times New Roman"/>
          <w:color w:val="000000"/>
        </w:rPr>
      </w:pPr>
    </w:p>
    <w:p w14:paraId="000000E0" w14:textId="77777777" w:rsidR="009F1887" w:rsidRDefault="00790D5B">
      <w:pPr>
        <w:pStyle w:val="Heading2"/>
        <w:numPr>
          <w:ilvl w:val="1"/>
          <w:numId w:val="66"/>
        </w:numPr>
        <w:spacing w:after="240"/>
      </w:pPr>
      <w:bookmarkStart w:id="184" w:name="_heading=h.4d34og8" w:colFirst="0" w:colLast="0"/>
      <w:bookmarkEnd w:id="184"/>
      <w:r>
        <w:t xml:space="preserve">Institutional Framework for Environmental Management </w:t>
      </w:r>
    </w:p>
    <w:p w14:paraId="000000E1"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Ministry of Environment Protection and Agriculture.</w:t>
      </w:r>
      <w:sdt>
        <w:sdtPr>
          <w:tag w:val="goog_rdk_105"/>
          <w:id w:val="-513065193"/>
        </w:sdtPr>
        <w:sdtContent>
          <w:del w:id="185" w:author="Author" w:date="2020-07-15T05:14:00Z">
            <w:r>
              <w:rPr>
                <w:rFonts w:ascii="Times New Roman" w:eastAsia="Times New Roman" w:hAnsi="Times New Roman" w:cs="Times New Roman"/>
                <w:color w:val="000000"/>
              </w:rPr>
              <w:delText xml:space="preserve"> </w:delText>
            </w:r>
          </w:del>
        </w:sdtContent>
      </w:sdt>
    </w:p>
    <w:sdt>
      <w:sdtPr>
        <w:tag w:val="goog_rdk_108"/>
        <w:id w:val="1778069029"/>
      </w:sdtPr>
      <w:sdtContent>
        <w:p w14:paraId="000000E2" w14:textId="77777777" w:rsidR="009F1887" w:rsidRDefault="00EC15FD">
          <w:pPr>
            <w:spacing w:before="240" w:after="240"/>
            <w:jc w:val="both"/>
            <w:rPr>
              <w:ins w:id="186" w:author="Giorgi Kobaladze" w:date="2020-07-17T06:29:00Z"/>
              <w:rFonts w:ascii="Times New Roman" w:eastAsia="Times New Roman" w:hAnsi="Times New Roman" w:cs="Times New Roman"/>
              <w:color w:val="000000"/>
            </w:rPr>
          </w:pPr>
          <w:sdt>
            <w:sdtPr>
              <w:tag w:val="goog_rdk_107"/>
              <w:id w:val="-544366933"/>
            </w:sdtPr>
            <w:sdtContent>
              <w:ins w:id="187" w:author="Giorgi Kobaladze" w:date="2020-07-17T06:29:00Z">
                <w:r w:rsidR="00790D5B">
                  <w:rPr>
                    <w:rFonts w:ascii="Times New Roman" w:eastAsia="Times New Roman" w:hAnsi="Times New Roman" w:cs="Times New Roman"/>
                    <w:color w:val="000000"/>
                  </w:rPr>
                  <w:t>Main governing authority for environmental protection in the country is the Ministry of Environmental Protection and Agriculture (MEPA). A major portion of environmental policy and legislation is being developed by the MEPA. The Ministry plays a major role in environmental administration, issuing and enforcement of the permits, implementations of state control, data analysis and management in the field of environmental protection and use of natural resources (except for minerals, oil and gas) through its subordinated structural units as well as state subordinated entity and the Legal Entities of Public Law.</w:t>
                </w:r>
              </w:ins>
            </w:sdtContent>
          </w:sdt>
        </w:p>
      </w:sdtContent>
    </w:sdt>
    <w:sdt>
      <w:sdtPr>
        <w:tag w:val="goog_rdk_110"/>
        <w:id w:val="979585941"/>
      </w:sdtPr>
      <w:sdtContent>
        <w:p w14:paraId="000000E3" w14:textId="77777777" w:rsidR="009F1887" w:rsidRDefault="00EC15FD">
          <w:pPr>
            <w:spacing w:before="240" w:after="240"/>
            <w:jc w:val="both"/>
            <w:rPr>
              <w:ins w:id="188" w:author="Giorgi Kobaladze" w:date="2020-07-17T06:29:00Z"/>
              <w:rFonts w:ascii="Times New Roman" w:eastAsia="Times New Roman" w:hAnsi="Times New Roman" w:cs="Times New Roman"/>
              <w:color w:val="000000"/>
            </w:rPr>
          </w:pPr>
          <w:sdt>
            <w:sdtPr>
              <w:tag w:val="goog_rdk_109"/>
              <w:id w:val="-1971819843"/>
            </w:sdtPr>
            <w:sdtContent>
              <w:ins w:id="189" w:author="Giorgi Kobaladze" w:date="2020-07-17T06:29:00Z">
                <w:r w:rsidR="00790D5B">
                  <w:rPr>
                    <w:rFonts w:ascii="Times New Roman" w:eastAsia="Times New Roman" w:hAnsi="Times New Roman" w:cs="Times New Roman"/>
                    <w:color w:val="000000"/>
                  </w:rPr>
                  <w:t>This ministry is mandated to manage and monitor environmental sector at countrywide level. Specific functions of MEPA pertaining the development and implementation of an overall policy in water resources, air quality and land/soil protection.  Specifically, the ministry is in charge of developing legislation and regulations, issueing environmental permits and  conducting ecological expertise for it, setting norms and bounding values, collecting and processing statistical forms.</w:t>
                </w:r>
              </w:ins>
            </w:sdtContent>
          </w:sdt>
        </w:p>
      </w:sdtContent>
    </w:sdt>
    <w:sdt>
      <w:sdtPr>
        <w:tag w:val="goog_rdk_112"/>
        <w:id w:val="-662158834"/>
      </w:sdtPr>
      <w:sdtContent>
        <w:p w14:paraId="000000E4" w14:textId="77777777" w:rsidR="009F1887" w:rsidRDefault="00EC15FD">
          <w:pPr>
            <w:spacing w:before="240" w:after="0"/>
            <w:jc w:val="both"/>
            <w:rPr>
              <w:ins w:id="190" w:author="Giorgi Kobaladze" w:date="2020-07-17T06:29:00Z"/>
              <w:rFonts w:ascii="Times New Roman" w:eastAsia="Times New Roman" w:hAnsi="Times New Roman" w:cs="Times New Roman"/>
              <w:color w:val="000000"/>
            </w:rPr>
          </w:pPr>
          <w:sdt>
            <w:sdtPr>
              <w:tag w:val="goog_rdk_111"/>
              <w:id w:val="-376393338"/>
            </w:sdtPr>
            <w:sdtContent>
              <w:ins w:id="191" w:author="Giorgi Kobaladze" w:date="2020-07-17T06:29:00Z">
                <w:r w:rsidR="00790D5B">
                  <w:rPr>
                    <w:rFonts w:ascii="Times New Roman" w:eastAsia="Times New Roman" w:hAnsi="Times New Roman" w:cs="Times New Roman"/>
                    <w:color w:val="000000"/>
                  </w:rPr>
                  <w:t xml:space="preserve">Considering the project design and upcoming activities, communication and collaboration is expected to built to the following subordinated structural units and LEPLs under the MEPA umbrella:  [A1] </w:t>
                </w:r>
              </w:ins>
            </w:sdtContent>
          </w:sdt>
        </w:p>
      </w:sdtContent>
    </w:sdt>
    <w:sdt>
      <w:sdtPr>
        <w:tag w:val="goog_rdk_114"/>
        <w:id w:val="-1326203301"/>
      </w:sdtPr>
      <w:sdtContent>
        <w:p w14:paraId="000000E5" w14:textId="77777777" w:rsidR="009F1887" w:rsidRDefault="00EC15FD">
          <w:pPr>
            <w:numPr>
              <w:ilvl w:val="0"/>
              <w:numId w:val="58"/>
            </w:numPr>
            <w:spacing w:after="0" w:line="240" w:lineRule="auto"/>
            <w:jc w:val="both"/>
            <w:rPr>
              <w:ins w:id="192" w:author="Giorgi Kobaladze" w:date="2020-07-17T06:29:00Z"/>
              <w:rFonts w:ascii="Times New Roman" w:eastAsia="Times New Roman" w:hAnsi="Times New Roman" w:cs="Times New Roman"/>
              <w:color w:val="424142"/>
              <w:sz w:val="24"/>
              <w:szCs w:val="24"/>
            </w:rPr>
          </w:pPr>
          <w:sdt>
            <w:sdtPr>
              <w:tag w:val="goog_rdk_113"/>
              <w:id w:val="-4753630"/>
            </w:sdtPr>
            <w:sdtContent>
              <w:ins w:id="193" w:author="Giorgi Kobaladze" w:date="2020-07-17T06:29:00Z">
                <w:r>
                  <w:pict w14:anchorId="768F3766">
                    <v:rect id="_x0000_i1026" style="width:0;height:1.5pt" o:hralign="center" o:hrstd="t" o:hr="t" fillcolor="#a0a0a0" stroked="f"/>
                  </w:pict>
                </w:r>
              </w:ins>
            </w:sdtContent>
          </w:sdt>
        </w:p>
      </w:sdtContent>
    </w:sdt>
    <w:sdt>
      <w:sdtPr>
        <w:tag w:val="goog_rdk_116"/>
        <w:id w:val="-1359357706"/>
      </w:sdtPr>
      <w:sdtContent>
        <w:p w14:paraId="000000E6" w14:textId="77777777" w:rsidR="009F1887" w:rsidRDefault="00EC15FD">
          <w:pPr>
            <w:numPr>
              <w:ilvl w:val="0"/>
              <w:numId w:val="58"/>
            </w:numPr>
            <w:spacing w:before="240" w:after="240" w:line="240" w:lineRule="auto"/>
            <w:jc w:val="both"/>
            <w:rPr>
              <w:ins w:id="194" w:author="Giorgi Kobaladze" w:date="2020-07-17T06:29:00Z"/>
              <w:rFonts w:ascii="Times New Roman" w:eastAsia="Times New Roman" w:hAnsi="Times New Roman" w:cs="Times New Roman"/>
              <w:color w:val="424142"/>
              <w:sz w:val="24"/>
              <w:szCs w:val="24"/>
            </w:rPr>
          </w:pPr>
          <w:sdt>
            <w:sdtPr>
              <w:tag w:val="goog_rdk_115"/>
              <w:id w:val="490612008"/>
            </w:sdtPr>
            <w:sdtContent>
              <w:ins w:id="195" w:author="Giorgi Kobaladze" w:date="2020-07-17T06:29:00Z">
                <w:r w:rsidR="00790D5B">
                  <w:rPr>
                    <w:rFonts w:ascii="Times New Roman" w:eastAsia="Times New Roman" w:hAnsi="Times New Roman" w:cs="Times New Roman"/>
                    <w:color w:val="000000"/>
                  </w:rPr>
                  <w:t xml:space="preserve"> [A1]Quality upgrade required for content and grammar. </w:t>
                </w:r>
              </w:ins>
            </w:sdtContent>
          </w:sdt>
        </w:p>
      </w:sdtContent>
    </w:sdt>
    <w:sdt>
      <w:sdtPr>
        <w:tag w:val="goog_rdk_122"/>
        <w:id w:val="1409578793"/>
      </w:sdtPr>
      <w:sdtContent>
        <w:p w14:paraId="000000E7" w14:textId="77777777" w:rsidR="009F1887" w:rsidRDefault="00EC15FD">
          <w:pPr>
            <w:keepNext/>
            <w:keepLines/>
            <w:pBdr>
              <w:top w:val="nil"/>
              <w:left w:val="nil"/>
              <w:bottom w:val="nil"/>
              <w:right w:val="nil"/>
              <w:between w:val="nil"/>
            </w:pBdr>
            <w:spacing w:after="240"/>
            <w:jc w:val="both"/>
            <w:rPr>
              <w:ins w:id="196" w:author="Author" w:date="2020-07-15T05:14:00Z"/>
              <w:del w:id="197" w:author="Giorgi Kobaladze" w:date="2020-07-17T06:29:00Z"/>
              <w:rFonts w:ascii="Times New Roman" w:eastAsia="Times New Roman" w:hAnsi="Times New Roman" w:cs="Times New Roman"/>
              <w:color w:val="000000"/>
            </w:rPr>
          </w:pPr>
          <w:sdt>
            <w:sdtPr>
              <w:tag w:val="goog_rdk_119"/>
              <w:id w:val="-1065951035"/>
            </w:sdtPr>
            <w:sdtContent>
              <w:customXmlInsRangeStart w:id="198" w:author="Author" w:date="2020-07-15T05:14:00Z"/>
              <w:sdt>
                <w:sdtPr>
                  <w:tag w:val="goog_rdk_120"/>
                  <w:id w:val="-1251656845"/>
                </w:sdtPr>
                <w:sdtContent>
                  <w:customXmlInsRangeEnd w:id="198"/>
                  <w:customXmlInsRangeStart w:id="199" w:author="Author" w:date="2020-07-15T05:14:00Z"/>
                </w:sdtContent>
              </w:sdt>
              <w:customXmlInsRangeEnd w:id="199"/>
              <w:sdt>
                <w:sdtPr>
                  <w:tag w:val="goog_rdk_121"/>
                  <w:id w:val="188576249"/>
                </w:sdtPr>
                <w:sdtContent>
                  <w:commentRangeStart w:id="200"/>
                </w:sdtContent>
              </w:sdt>
              <w:ins w:id="201" w:author="Author" w:date="2020-07-15T05:14:00Z">
                <w:del w:id="202" w:author="Giorgi Kobaladze" w:date="2020-07-17T06:29:00Z">
                  <w:r w:rsidR="00790D5B">
                    <w:rPr>
                      <w:rFonts w:ascii="Times New Roman" w:eastAsia="Times New Roman" w:hAnsi="Times New Roman" w:cs="Times New Roman"/>
                      <w:color w:val="000000"/>
                    </w:rPr>
                    <w:delText xml:space="preserve">Main governing authority foron state environmental protection is the Ministry of Environmental Protection and Agriculture (MEPA). Theis institution is mandated to manage environmental sector at countrywide level. Specific functions of MEPAthe ministry performs and it is related to the project are pertaining : </w:delText>
                  </w:r>
                </w:del>
              </w:ins>
            </w:sdtContent>
          </w:sdt>
        </w:p>
      </w:sdtContent>
    </w:sdt>
    <w:sdt>
      <w:sdtPr>
        <w:tag w:val="goog_rdk_125"/>
        <w:id w:val="83809549"/>
      </w:sdtPr>
      <w:sdtContent>
        <w:p w14:paraId="000000E8" w14:textId="77777777" w:rsidR="009F1887" w:rsidRDefault="00EC15FD">
          <w:pPr>
            <w:numPr>
              <w:ilvl w:val="0"/>
              <w:numId w:val="58"/>
            </w:numPr>
            <w:pBdr>
              <w:top w:val="nil"/>
              <w:left w:val="nil"/>
              <w:bottom w:val="nil"/>
              <w:right w:val="nil"/>
              <w:between w:val="nil"/>
            </w:pBdr>
            <w:spacing w:after="0" w:line="240" w:lineRule="auto"/>
            <w:jc w:val="both"/>
            <w:rPr>
              <w:ins w:id="203" w:author="Author" w:date="2020-07-15T05:14:00Z"/>
              <w:del w:id="204" w:author="Giorgi Kobaladze" w:date="2020-07-17T06:29:00Z"/>
              <w:rFonts w:ascii="Times New Roman" w:eastAsia="Times New Roman" w:hAnsi="Times New Roman" w:cs="Times New Roman"/>
              <w:color w:val="424142"/>
              <w:sz w:val="24"/>
              <w:szCs w:val="24"/>
            </w:rPr>
          </w:pPr>
          <w:sdt>
            <w:sdtPr>
              <w:tag w:val="goog_rdk_123"/>
              <w:id w:val="874516426"/>
            </w:sdtPr>
            <w:sdtContent>
              <w:customXmlInsRangeStart w:id="205" w:author="Author" w:date="2020-07-15T05:14:00Z"/>
              <w:sdt>
                <w:sdtPr>
                  <w:tag w:val="goog_rdk_124"/>
                  <w:id w:val="-1204860736"/>
                </w:sdtPr>
                <w:sdtContent>
                  <w:customXmlInsRangeEnd w:id="205"/>
                  <w:ins w:id="206" w:author="Author" w:date="2020-07-15T05:14:00Z">
                    <w:del w:id="207" w:author="Giorgi Kobaladze" w:date="2020-07-17T06:29:00Z">
                      <w:r w:rsidR="00790D5B">
                        <w:rPr>
                          <w:rFonts w:ascii="Times New Roman" w:eastAsia="Times New Roman" w:hAnsi="Times New Roman" w:cs="Times New Roman"/>
                          <w:color w:val="424142"/>
                          <w:sz w:val="24"/>
                          <w:szCs w:val="24"/>
                        </w:rPr>
                        <w:delText xml:space="preserve">Elaboration necessary policy documents, ordinance, guidelines and regulations to prevent environmental pollution; </w:delText>
                      </w:r>
                    </w:del>
                  </w:ins>
                  <w:customXmlInsRangeStart w:id="208" w:author="Author" w:date="2020-07-15T05:14:00Z"/>
                </w:sdtContent>
              </w:sdt>
              <w:customXmlInsRangeEnd w:id="208"/>
            </w:sdtContent>
          </w:sdt>
        </w:p>
      </w:sdtContent>
    </w:sdt>
    <w:sdt>
      <w:sdtPr>
        <w:tag w:val="goog_rdk_128"/>
        <w:id w:val="551433401"/>
      </w:sdtPr>
      <w:sdtContent>
        <w:p w14:paraId="000000E9" w14:textId="77777777" w:rsidR="009F1887" w:rsidRDefault="00EC15FD">
          <w:pPr>
            <w:numPr>
              <w:ilvl w:val="0"/>
              <w:numId w:val="58"/>
            </w:numPr>
            <w:pBdr>
              <w:top w:val="nil"/>
              <w:left w:val="nil"/>
              <w:bottom w:val="nil"/>
              <w:right w:val="nil"/>
              <w:between w:val="nil"/>
            </w:pBdr>
            <w:spacing w:after="0" w:line="240" w:lineRule="auto"/>
            <w:jc w:val="both"/>
            <w:rPr>
              <w:ins w:id="209" w:author="Author" w:date="2020-07-15T05:14:00Z"/>
              <w:del w:id="210" w:author="Giorgi Kobaladze" w:date="2020-07-17T06:29:00Z"/>
              <w:rFonts w:ascii="Times New Roman" w:eastAsia="Times New Roman" w:hAnsi="Times New Roman" w:cs="Times New Roman"/>
              <w:color w:val="424142"/>
              <w:sz w:val="24"/>
              <w:szCs w:val="24"/>
            </w:rPr>
          </w:pPr>
          <w:sdt>
            <w:sdtPr>
              <w:tag w:val="goog_rdk_126"/>
              <w:id w:val="-864284432"/>
            </w:sdtPr>
            <w:sdtContent>
              <w:customXmlInsRangeStart w:id="211" w:author="Author" w:date="2020-07-15T05:14:00Z"/>
              <w:sdt>
                <w:sdtPr>
                  <w:tag w:val="goog_rdk_127"/>
                  <w:id w:val="-1280873737"/>
                </w:sdtPr>
                <w:sdtContent>
                  <w:customXmlInsRangeEnd w:id="211"/>
                  <w:ins w:id="212" w:author="Author" w:date="2020-07-15T05:14:00Z">
                    <w:del w:id="213" w:author="Giorgi Kobaladze" w:date="2020-07-17T06:29:00Z">
                      <w:r w:rsidR="00790D5B">
                        <w:rPr>
                          <w:rFonts w:ascii="Times New Roman" w:eastAsia="Times New Roman" w:hAnsi="Times New Roman" w:cs="Times New Roman"/>
                          <w:color w:val="424142"/>
                          <w:sz w:val="24"/>
                          <w:szCs w:val="24"/>
                        </w:rPr>
                        <w:delText xml:space="preserve">Monitoring on pollution of air, water and ground and control over emissions and omissions; </w:delText>
                      </w:r>
                    </w:del>
                  </w:ins>
                  <w:customXmlInsRangeStart w:id="214" w:author="Author" w:date="2020-07-15T05:14:00Z"/>
                </w:sdtContent>
              </w:sdt>
              <w:customXmlInsRangeEnd w:id="214"/>
            </w:sdtContent>
          </w:sdt>
        </w:p>
      </w:sdtContent>
    </w:sdt>
    <w:sdt>
      <w:sdtPr>
        <w:tag w:val="goog_rdk_131"/>
        <w:id w:val="-1031109793"/>
      </w:sdtPr>
      <w:sdtContent>
        <w:p w14:paraId="000000EA" w14:textId="77777777" w:rsidR="009F1887" w:rsidRDefault="00EC15FD">
          <w:pPr>
            <w:numPr>
              <w:ilvl w:val="0"/>
              <w:numId w:val="58"/>
            </w:numPr>
            <w:pBdr>
              <w:top w:val="nil"/>
              <w:left w:val="nil"/>
              <w:bottom w:val="nil"/>
              <w:right w:val="nil"/>
              <w:between w:val="nil"/>
            </w:pBdr>
            <w:spacing w:after="0" w:line="240" w:lineRule="auto"/>
            <w:jc w:val="both"/>
            <w:rPr>
              <w:ins w:id="215" w:author="Author" w:date="2020-07-15T05:14:00Z"/>
              <w:rFonts w:ascii="Times New Roman" w:eastAsia="Times New Roman" w:hAnsi="Times New Roman" w:cs="Times New Roman"/>
              <w:color w:val="424142"/>
              <w:sz w:val="24"/>
              <w:szCs w:val="24"/>
            </w:rPr>
          </w:pPr>
          <w:sdt>
            <w:sdtPr>
              <w:tag w:val="goog_rdk_129"/>
              <w:id w:val="407274032"/>
            </w:sdtPr>
            <w:sdtContent>
              <w:customXmlInsRangeStart w:id="216" w:author="Author" w:date="2020-07-15T05:14:00Z"/>
              <w:sdt>
                <w:sdtPr>
                  <w:tag w:val="goog_rdk_130"/>
                  <w:id w:val="-304555710"/>
                </w:sdtPr>
                <w:sdtContent>
                  <w:customXmlInsRangeEnd w:id="216"/>
                  <w:ins w:id="217" w:author="Author" w:date="2020-07-15T05:14:00Z">
                    <w:del w:id="218" w:author="Giorgi Kobaladze" w:date="2020-07-17T06:29:00Z">
                      <w:r w:rsidR="00790D5B">
                        <w:rPr>
                          <w:rFonts w:ascii="Times New Roman" w:eastAsia="Times New Roman" w:hAnsi="Times New Roman" w:cs="Times New Roman"/>
                          <w:color w:val="424142"/>
                          <w:sz w:val="24"/>
                          <w:szCs w:val="24"/>
                        </w:rPr>
                        <w:delText>Issue necessary permissions, licenses and allowances to particular activities may bear environmental risks and hazard;</w:delText>
                      </w:r>
                    </w:del>
                  </w:ins>
                  <w:customXmlInsRangeStart w:id="219" w:author="Author" w:date="2020-07-15T05:14:00Z"/>
                </w:sdtContent>
              </w:sdt>
              <w:customXmlInsRangeEnd w:id="219"/>
              <w:ins w:id="220" w:author="Author" w:date="2020-07-15T05:14:00Z">
                <w:r w:rsidR="00790D5B">
                  <w:rPr>
                    <w:rFonts w:ascii="Times New Roman" w:eastAsia="Times New Roman" w:hAnsi="Times New Roman" w:cs="Times New Roman"/>
                    <w:color w:val="424142"/>
                    <w:sz w:val="24"/>
                    <w:szCs w:val="24"/>
                  </w:rPr>
                  <w:t xml:space="preserve"> </w:t>
                </w:r>
              </w:ins>
            </w:sdtContent>
          </w:sdt>
        </w:p>
      </w:sdtContent>
    </w:sdt>
    <w:sdt>
      <w:sdtPr>
        <w:tag w:val="goog_rdk_133"/>
        <w:id w:val="-282806949"/>
      </w:sdtPr>
      <w:sdtContent>
        <w:p w14:paraId="000000EB" w14:textId="77777777" w:rsidR="009F1887" w:rsidRDefault="00EC15FD">
          <w:pPr>
            <w:spacing w:after="0" w:line="240" w:lineRule="auto"/>
            <w:ind w:left="360"/>
            <w:jc w:val="both"/>
            <w:rPr>
              <w:ins w:id="221" w:author="Author" w:date="2020-07-15T05:14:00Z"/>
              <w:rFonts w:ascii="Times New Roman" w:eastAsia="Times New Roman" w:hAnsi="Times New Roman" w:cs="Times New Roman"/>
              <w:color w:val="424142"/>
              <w:sz w:val="24"/>
              <w:szCs w:val="24"/>
            </w:rPr>
          </w:pPr>
          <w:sdt>
            <w:sdtPr>
              <w:tag w:val="goog_rdk_132"/>
              <w:id w:val="545181989"/>
            </w:sdtPr>
            <w:sdtContent/>
          </w:sdt>
        </w:p>
      </w:sdtContent>
    </w:sdt>
    <w:sdt>
      <w:sdtPr>
        <w:tag w:val="goog_rdk_137"/>
        <w:id w:val="-465441808"/>
      </w:sdtPr>
      <w:sdtContent>
        <w:p w14:paraId="000000EC" w14:textId="77777777" w:rsidR="009F1887" w:rsidRDefault="00EC15FD">
          <w:pPr>
            <w:spacing w:after="0" w:line="240" w:lineRule="auto"/>
            <w:jc w:val="both"/>
            <w:rPr>
              <w:ins w:id="222" w:author="Author" w:date="2020-07-15T05:14:00Z"/>
              <w:rFonts w:ascii="Times New Roman" w:eastAsia="Times New Roman" w:hAnsi="Times New Roman" w:cs="Times New Roman"/>
              <w:color w:val="424142"/>
              <w:sz w:val="24"/>
              <w:szCs w:val="24"/>
            </w:rPr>
          </w:pPr>
          <w:sdt>
            <w:sdtPr>
              <w:tag w:val="goog_rdk_135"/>
              <w:id w:val="-1523087566"/>
            </w:sdtPr>
            <w:sdtContent>
              <w:customXmlInsRangeStart w:id="223" w:author="Author" w:date="2020-07-15T05:14:00Z"/>
              <w:sdt>
                <w:sdtPr>
                  <w:tag w:val="goog_rdk_136"/>
                  <w:id w:val="-750497099"/>
                </w:sdtPr>
                <w:sdtContent>
                  <w:customXmlInsRangeEnd w:id="223"/>
                  <w:ins w:id="224" w:author="Author" w:date="2020-07-15T05:14:00Z">
                    <w:del w:id="225" w:author="Giorgi Kobaladze" w:date="2020-07-17T06:29:00Z">
                      <w:r w:rsidR="00790D5B">
                        <w:rPr>
                          <w:rFonts w:ascii="Times New Roman" w:eastAsia="Times New Roman" w:hAnsi="Times New Roman" w:cs="Times New Roman"/>
                          <w:color w:val="424142"/>
                          <w:sz w:val="24"/>
                          <w:szCs w:val="24"/>
                        </w:rPr>
                        <w:delText xml:space="preserve">Considering the project design and upcoming activities, communication and collaboration is expected to built to the following departments/agencies under the MEPA umbrella:  </w:delText>
                      </w:r>
                    </w:del>
                  </w:ins>
                  <w:customXmlInsRangeStart w:id="226" w:author="Author" w:date="2020-07-15T05:14:00Z"/>
                </w:sdtContent>
              </w:sdt>
              <w:customXmlInsRangeEnd w:id="226"/>
              <w:commentRangeEnd w:id="200"/>
              <w:ins w:id="227" w:author="Author" w:date="2020-07-15T05:14:00Z">
                <w:r w:rsidR="00790D5B">
                  <w:commentReference w:id="200"/>
                </w:r>
              </w:ins>
            </w:sdtContent>
          </w:sdt>
        </w:p>
      </w:sdtContent>
    </w:sdt>
    <w:p w14:paraId="000000ED" w14:textId="77777777" w:rsidR="009F1887" w:rsidRDefault="00790D5B">
      <w:pPr>
        <w:keepNext/>
        <w:keepLines/>
        <w:numPr>
          <w:ilvl w:val="0"/>
          <w:numId w:val="60"/>
        </w:numPr>
        <w:pBdr>
          <w:top w:val="nil"/>
          <w:left w:val="nil"/>
          <w:bottom w:val="nil"/>
          <w:right w:val="nil"/>
          <w:between w:val="nil"/>
        </w:pBdr>
        <w:spacing w:after="24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Environmental Assessment Department of the MEPA</w:t>
      </w:r>
      <w:r>
        <w:rPr>
          <w:rFonts w:ascii="Times New Roman" w:eastAsia="Times New Roman" w:hAnsi="Times New Roman" w:cs="Times New Roman"/>
          <w:color w:val="000000"/>
        </w:rPr>
        <w:t xml:space="preserve"> undertakes environmental screening of activities submitted for environmental decision, expert review and disclosure of EIA reports, organization and conduct of public consultations and issuance of environmental decisions on EIA.</w:t>
      </w:r>
    </w:p>
    <w:p w14:paraId="000000EE" w14:textId="77777777" w:rsidR="009F1887" w:rsidRDefault="00790D5B">
      <w:pPr>
        <w:keepNext/>
        <w:keepLines/>
        <w:numPr>
          <w:ilvl w:val="0"/>
          <w:numId w:val="60"/>
        </w:numPr>
        <w:pBdr>
          <w:top w:val="nil"/>
          <w:left w:val="nil"/>
          <w:bottom w:val="nil"/>
          <w:right w:val="nil"/>
          <w:between w:val="nil"/>
        </w:pBdr>
        <w:spacing w:after="24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Environmental Supervision Department of the MEPA</w:t>
      </w:r>
      <w:r>
        <w:rPr>
          <w:rFonts w:ascii="Times New Roman" w:eastAsia="Times New Roman" w:hAnsi="Times New Roman" w:cs="Times New Roman"/>
          <w:color w:val="000000"/>
        </w:rPr>
        <w:t xml:space="preserve"> inspects</w:t>
      </w:r>
      <w:sdt>
        <w:sdtPr>
          <w:tag w:val="goog_rdk_138"/>
          <w:id w:val="-720977332"/>
        </w:sdtPr>
        <w:sdtContent>
          <w:ins w:id="228" w:author="Giorgi Kobaladze" w:date="2020-07-17T06:30:00Z">
            <w:r>
              <w:rPr>
                <w:rFonts w:ascii="Times New Roman" w:eastAsia="Times New Roman" w:hAnsi="Times New Roman" w:cs="Times New Roman"/>
                <w:color w:val="000000"/>
              </w:rPr>
              <w:t xml:space="preserve"> and enforces</w:t>
            </w:r>
          </w:ins>
        </w:sdtContent>
      </w:sdt>
      <w:r>
        <w:rPr>
          <w:rFonts w:ascii="Times New Roman" w:eastAsia="Times New Roman" w:hAnsi="Times New Roman" w:cs="Times New Roman"/>
          <w:color w:val="000000"/>
        </w:rPr>
        <w:t xml:space="preserve"> compliance with environmental legislation and ensures adherence to conditions of the issued environmental decisions.</w:t>
      </w:r>
    </w:p>
    <w:p w14:paraId="000000EF" w14:textId="77777777" w:rsidR="009F1887" w:rsidRDefault="00790D5B">
      <w:pPr>
        <w:keepNext/>
        <w:keepLines/>
        <w:numPr>
          <w:ilvl w:val="0"/>
          <w:numId w:val="60"/>
        </w:numPr>
        <w:pBdr>
          <w:top w:val="nil"/>
          <w:left w:val="nil"/>
          <w:bottom w:val="nil"/>
          <w:right w:val="nil"/>
          <w:between w:val="nil"/>
        </w:pBdr>
        <w:spacing w:after="24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National Environment Agency (NEA) under the MEPA</w:t>
      </w:r>
      <w:sdt>
        <w:sdtPr>
          <w:tag w:val="goog_rdk_139"/>
          <w:id w:val="1031151538"/>
        </w:sdtPr>
        <w:sdtContent>
          <w:r>
            <w:rPr>
              <w:rFonts w:ascii="Times New Roman" w:eastAsia="Times New Roman" w:hAnsi="Times New Roman" w:cs="Times New Roman"/>
              <w:b/>
              <w:i/>
              <w:color w:val="000000"/>
              <w:shd w:val="clear" w:color="auto" w:fill="FEFEFE"/>
              <w:rPrChange w:id="229" w:author="Giorgi Kobaladze" w:date="2020-07-17T06:31:00Z">
                <w:rPr>
                  <w:rFonts w:ascii="Times New Roman" w:eastAsia="Times New Roman" w:hAnsi="Times New Roman" w:cs="Times New Roman"/>
                  <w:b/>
                  <w:i/>
                  <w:color w:val="000000"/>
                </w:rPr>
              </w:rPrChange>
            </w:rPr>
            <w:t xml:space="preserve"> </w:t>
          </w:r>
        </w:sdtContent>
      </w:sdt>
      <w:sdt>
        <w:sdtPr>
          <w:tag w:val="goog_rdk_140"/>
          <w:id w:val="-436606745"/>
        </w:sdtPr>
        <w:sdtContent>
          <w:sdt>
            <w:sdtPr>
              <w:tag w:val="goog_rdk_141"/>
              <w:id w:val="788243926"/>
            </w:sdtPr>
            <w:sdtContent>
              <w:ins w:id="230" w:author="Giorgi Kobaladze" w:date="2020-07-17T06:31:00Z">
                <w:r>
                  <w:rPr>
                    <w:rFonts w:ascii="Times New Roman" w:eastAsia="Times New Roman" w:hAnsi="Times New Roman" w:cs="Times New Roman"/>
                    <w:b/>
                    <w:i/>
                    <w:color w:val="000000"/>
                    <w:shd w:val="clear" w:color="auto" w:fill="FEFEFE"/>
                    <w:rPrChange w:id="231" w:author="Giorgi Kobaladze" w:date="2020-07-17T06:31:00Z">
                      <w:rPr>
                        <w:rFonts w:ascii="Times New Roman" w:eastAsia="Times New Roman" w:hAnsi="Times New Roman" w:cs="Times New Roman"/>
                        <w:b/>
                        <w:i/>
                        <w:color w:val="000000"/>
                      </w:rPr>
                    </w:rPrChange>
                  </w:rPr>
                  <w:t>is responsible for the creation of monitoring systems that measure the quality of environment with particular emphasis on ambient air and surface and ground waters throughout the whole territory of Georgia.</w:t>
                </w:r>
              </w:ins>
            </w:sdtContent>
          </w:sdt>
          <w:customXmlInsRangeStart w:id="232" w:author="Giorgi Kobaladze" w:date="2020-07-17T06:31:00Z"/>
          <w:sdt>
            <w:sdtPr>
              <w:tag w:val="goog_rdk_142"/>
              <w:id w:val="1641148044"/>
            </w:sdtPr>
            <w:sdtContent>
              <w:customXmlInsRangeEnd w:id="232"/>
              <w:ins w:id="233" w:author="Giorgi Kobaladze" w:date="2020-07-17T06:31:00Z">
                <w:r>
                  <w:rPr>
                    <w:rFonts w:ascii="Times New Roman" w:eastAsia="Times New Roman" w:hAnsi="Times New Roman" w:cs="Times New Roman"/>
                    <w:b/>
                    <w:i/>
                    <w:color w:val="000000"/>
                    <w:shd w:val="clear" w:color="auto" w:fill="FEFEFE"/>
                    <w:rPrChange w:id="234" w:author="Giorgi Kobaladze" w:date="2020-07-17T06:31:00Z">
                      <w:rPr>
                        <w:rFonts w:ascii="Times New Roman" w:eastAsia="Times New Roman" w:hAnsi="Times New Roman" w:cs="Times New Roman"/>
                        <w:b/>
                        <w:i/>
                        <w:color w:val="000000"/>
                      </w:rPr>
                    </w:rPrChange>
                  </w:rPr>
                  <w:t xml:space="preserve">  </w:t>
                </w:r>
              </w:ins>
              <w:customXmlInsRangeStart w:id="235" w:author="Giorgi Kobaladze" w:date="2020-07-17T06:31:00Z"/>
            </w:sdtContent>
          </w:sdt>
          <w:customXmlInsRangeEnd w:id="235"/>
        </w:sdtContent>
      </w:sdt>
      <w:sdt>
        <w:sdtPr>
          <w:tag w:val="goog_rdk_143"/>
          <w:id w:val="1354845215"/>
        </w:sdtPr>
        <w:sdtContent>
          <w:sdt>
            <w:sdtPr>
              <w:tag w:val="goog_rdk_144"/>
              <w:id w:val="1580395655"/>
            </w:sdtPr>
            <w:sdtContent>
              <w:del w:id="236" w:author="Giorgi Kobaladze" w:date="2020-07-17T06:31:00Z">
                <w:r>
                  <w:rPr>
                    <w:rFonts w:ascii="Times New Roman" w:eastAsia="Times New Roman" w:hAnsi="Times New Roman" w:cs="Times New Roman"/>
                    <w:color w:val="000000"/>
                    <w:shd w:val="clear" w:color="auto" w:fill="FEFEFE"/>
                    <w:rPrChange w:id="237" w:author="Giorgi Kobaladze" w:date="2020-07-17T06:31:00Z">
                      <w:rPr>
                        <w:rFonts w:ascii="Times New Roman" w:eastAsia="Times New Roman" w:hAnsi="Times New Roman" w:cs="Times New Roman"/>
                        <w:color w:val="000000"/>
                      </w:rPr>
                    </w:rPrChange>
                  </w:rPr>
                  <w:delText>undertakes monitoring of the quality of environment with particular emphasis on ambient air and water (surface and ground) quality. It also provides hydrometeorological services</w:delText>
                </w:r>
              </w:del>
            </w:sdtContent>
          </w:sdt>
          <w:customXmlDelRangeStart w:id="238" w:author="Giorgi Kobaladze" w:date="2020-07-17T06:31:00Z"/>
          <w:sdt>
            <w:sdtPr>
              <w:tag w:val="goog_rdk_145"/>
              <w:id w:val="1605611401"/>
            </w:sdtPr>
            <w:sdtContent>
              <w:customXmlDelRangeEnd w:id="238"/>
              <w:del w:id="239" w:author="Giorgi Kobaladze" w:date="2020-07-17T06:31:00Z">
                <w:r>
                  <w:rPr>
                    <w:rFonts w:ascii="Times New Roman" w:eastAsia="Times New Roman" w:hAnsi="Times New Roman" w:cs="Times New Roman"/>
                    <w:b/>
                    <w:i/>
                    <w:color w:val="000000"/>
                    <w:shd w:val="clear" w:color="auto" w:fill="FEFEFE"/>
                    <w:rPrChange w:id="240" w:author="Giorgi Kobaladze" w:date="2020-07-17T06:31:00Z">
                      <w:rPr>
                        <w:rFonts w:ascii="Times New Roman" w:eastAsia="Times New Roman" w:hAnsi="Times New Roman" w:cs="Times New Roman"/>
                        <w:b/>
                        <w:i/>
                        <w:color w:val="000000"/>
                      </w:rPr>
                    </w:rPrChange>
                  </w:rPr>
                  <w:delText xml:space="preserve">. </w:delText>
                </w:r>
              </w:del>
              <w:customXmlDelRangeStart w:id="241" w:author="Giorgi Kobaladze" w:date="2020-07-17T06:31:00Z"/>
            </w:sdtContent>
          </w:sdt>
          <w:customXmlDelRangeEnd w:id="241"/>
          <w:customXmlDelRangeStart w:id="242" w:author="Giorgi Kobaladze" w:date="2020-07-17T06:31:00Z"/>
          <w:sdt>
            <w:sdtPr>
              <w:tag w:val="goog_rdk_146"/>
              <w:id w:val="2034146180"/>
            </w:sdtPr>
            <w:sdtContent>
              <w:customXmlDelRangeEnd w:id="242"/>
              <w:commentRangeStart w:id="243"/>
              <w:customXmlDelRangeStart w:id="244" w:author="Giorgi Kobaladze" w:date="2020-07-17T06:31:00Z"/>
            </w:sdtContent>
          </w:sdt>
          <w:customXmlDelRangeEnd w:id="244"/>
          <w:customXmlDelRangeStart w:id="245" w:author="Giorgi Kobaladze" w:date="2020-07-17T06:31:00Z"/>
          <w:sdt>
            <w:sdtPr>
              <w:tag w:val="goog_rdk_147"/>
              <w:id w:val="1684937213"/>
            </w:sdtPr>
            <w:sdtContent>
              <w:customXmlDelRangeEnd w:id="245"/>
              <w:del w:id="246" w:author="Giorgi Kobaladze" w:date="2020-07-17T06:31:00Z">
                <w:r>
                  <w:rPr>
                    <w:rFonts w:ascii="Times New Roman" w:eastAsia="Times New Roman" w:hAnsi="Times New Roman" w:cs="Times New Roman"/>
                    <w:color w:val="000000"/>
                    <w:shd w:val="clear" w:color="auto" w:fill="FEFEFE"/>
                    <w:rPrChange w:id="247" w:author="Giorgi Kobaladze" w:date="2020-07-17T06:31:00Z">
                      <w:rPr>
                        <w:rFonts w:ascii="Times New Roman" w:eastAsia="Times New Roman" w:hAnsi="Times New Roman" w:cs="Times New Roman"/>
                        <w:color w:val="000000"/>
                      </w:rPr>
                    </w:rPrChange>
                  </w:rPr>
                  <w:delText xml:space="preserve">NEA </w:delText>
                </w:r>
              </w:del>
              <w:customXmlDelRangeStart w:id="248" w:author="Giorgi Kobaladze" w:date="2020-07-17T06:31:00Z"/>
            </w:sdtContent>
          </w:sdt>
          <w:customXmlDelRangeEnd w:id="248"/>
        </w:sdtContent>
      </w:sdt>
      <w:sdt>
        <w:sdtPr>
          <w:tag w:val="goog_rdk_148"/>
          <w:id w:val="-2083125894"/>
        </w:sdtPr>
        <w:sdtContent>
          <w:customXmlInsRangeStart w:id="249" w:author="Author" w:date="2020-07-15T05:14:00Z"/>
          <w:sdt>
            <w:sdtPr>
              <w:tag w:val="goog_rdk_149"/>
              <w:id w:val="-1461268389"/>
            </w:sdtPr>
            <w:sdtContent>
              <w:customXmlInsRangeEnd w:id="249"/>
              <w:customXmlInsRangeStart w:id="250" w:author="Author" w:date="2020-07-15T05:14:00Z"/>
            </w:sdtContent>
          </w:sdt>
          <w:customXmlInsRangeEnd w:id="250"/>
          <w:sdt>
            <w:sdtPr>
              <w:tag w:val="goog_rdk_150"/>
              <w:id w:val="-1611810318"/>
            </w:sdtPr>
            <w:sdtContent>
              <w:ins w:id="251" w:author="Author" w:date="2020-07-15T05:14:00Z">
                <w:del w:id="252" w:author="Giorgi Kobaladze" w:date="2020-07-17T06:31:00Z">
                  <w:r>
                    <w:rPr>
                      <w:rFonts w:ascii="Times New Roman" w:eastAsia="Times New Roman" w:hAnsi="Times New Roman" w:cs="Times New Roman"/>
                      <w:color w:val="000000"/>
                      <w:shd w:val="clear" w:color="auto" w:fill="FEFEFE"/>
                      <w:rPrChange w:id="253" w:author="Giorgi Kobaladze" w:date="2020-07-17T06:31:00Z">
                        <w:rPr>
                          <w:rFonts w:ascii="Times New Roman" w:eastAsia="Times New Roman" w:hAnsi="Times New Roman" w:cs="Times New Roman"/>
                          <w:color w:val="000000"/>
                        </w:rPr>
                      </w:rPrChange>
                    </w:rPr>
                    <w:delText>implements state-</w:delText>
                  </w:r>
                </w:del>
              </w:ins>
            </w:sdtContent>
          </w:sdt>
          <w:customXmlInsRangeStart w:id="254" w:author="Author" w:date="2020-07-15T05:14:00Z"/>
          <w:customXmlDelRangeStart w:id="255" w:author="Giorgi Kobaladze" w:date="2020-07-17T06:31:00Z"/>
          <w:sdt>
            <w:sdtPr>
              <w:tag w:val="goog_rdk_151"/>
              <w:id w:val="-529642114"/>
            </w:sdtPr>
            <w:sdtContent>
              <w:customXmlInsRangeEnd w:id="254"/>
              <w:customXmlDelRangeEnd w:id="255"/>
              <w:ins w:id="256" w:author="Author" w:date="2020-07-15T05:14:00Z">
                <w:del w:id="257" w:author="Giorgi Kobaladze" w:date="2020-07-17T06:31:00Z">
                  <w:r>
                    <w:rPr>
                      <w:rFonts w:ascii="Times New Roman" w:eastAsia="Times New Roman" w:hAnsi="Times New Roman" w:cs="Times New Roman"/>
                      <w:color w:val="000000"/>
                      <w:shd w:val="clear" w:color="auto" w:fill="FEFEFE"/>
                      <w:rPrChange w:id="258" w:author="Giorgi Kobaladze" w:date="2020-07-17T06:31:00Z">
                        <w:rPr>
                          <w:rFonts w:ascii="Times New Roman" w:eastAsia="Times New Roman" w:hAnsi="Times New Roman" w:cs="Times New Roman"/>
                          <w:color w:val="000000"/>
                        </w:rPr>
                      </w:rPrChange>
                    </w:rPr>
                    <w:delText xml:space="preserve"> </w:delText>
                  </w:r>
                </w:del>
              </w:ins>
              <w:customXmlInsRangeStart w:id="259" w:author="Author" w:date="2020-07-15T05:14:00Z"/>
              <w:customXmlDelRangeStart w:id="260" w:author="Giorgi Kobaladze" w:date="2020-07-17T06:31:00Z"/>
            </w:sdtContent>
          </w:sdt>
          <w:customXmlInsRangeEnd w:id="259"/>
          <w:customXmlDelRangeEnd w:id="260"/>
          <w:customXmlInsRangeStart w:id="261" w:author="Author" w:date="2020-07-15T05:14:00Z"/>
          <w:customXmlDelRangeStart w:id="262" w:author="Giorgi Kobaladze" w:date="2020-07-17T06:31:00Z"/>
          <w:sdt>
            <w:sdtPr>
              <w:tag w:val="goog_rdk_152"/>
              <w:id w:val="579948558"/>
            </w:sdtPr>
            <w:sdtContent>
              <w:customXmlInsRangeEnd w:id="261"/>
              <w:customXmlDelRangeEnd w:id="262"/>
              <w:ins w:id="263" w:author="Author" w:date="2020-07-15T05:14:00Z">
                <w:del w:id="264" w:author="Giorgi Kobaladze" w:date="2020-07-17T06:31:00Z">
                  <w:r>
                    <w:rPr>
                      <w:rFonts w:ascii="Times New Roman" w:eastAsia="Times New Roman" w:hAnsi="Times New Roman" w:cs="Times New Roman"/>
                      <w:color w:val="000000"/>
                      <w:shd w:val="clear" w:color="auto" w:fill="FEFEFE"/>
                      <w:rPrChange w:id="265" w:author="Giorgi Kobaladze" w:date="2020-07-17T06:31:00Z">
                        <w:rPr>
                          <w:rFonts w:ascii="Times New Roman" w:eastAsia="Times New Roman" w:hAnsi="Times New Roman" w:cs="Times New Roman"/>
                          <w:color w:val="000000"/>
                        </w:rPr>
                      </w:rPrChange>
                    </w:rPr>
                    <w:delText>funded program which considers regular testing and survilance or drinking water supplied to citizens of Georgia to assure the quality and safety</w:delText>
                  </w:r>
                </w:del>
              </w:ins>
              <w:customXmlInsRangeStart w:id="266" w:author="Author" w:date="2020-07-15T05:14:00Z"/>
              <w:customXmlDelRangeStart w:id="267" w:author="Giorgi Kobaladze" w:date="2020-07-17T06:31:00Z"/>
            </w:sdtContent>
          </w:sdt>
          <w:customXmlInsRangeEnd w:id="266"/>
          <w:customXmlDelRangeEnd w:id="267"/>
        </w:sdtContent>
      </w:sdt>
      <w:sdt>
        <w:sdtPr>
          <w:tag w:val="goog_rdk_153"/>
          <w:id w:val="1152415179"/>
        </w:sdtPr>
        <w:sdtContent>
          <w:sdt>
            <w:sdtPr>
              <w:tag w:val="goog_rdk_154"/>
              <w:id w:val="1782681497"/>
            </w:sdtPr>
            <w:sdtContent>
              <w:del w:id="268" w:author="Giorgi Kobaladze" w:date="2020-07-17T06:31:00Z">
                <w:r>
                  <w:rPr>
                    <w:rFonts w:ascii="Times New Roman" w:eastAsia="Times New Roman" w:hAnsi="Times New Roman" w:cs="Times New Roman"/>
                    <w:color w:val="000000"/>
                    <w:shd w:val="clear" w:color="auto" w:fill="FEFEFE"/>
                    <w:rPrChange w:id="269" w:author="Giorgi Kobaladze" w:date="2020-07-17T06:31:00Z">
                      <w:rPr>
                        <w:rFonts w:ascii="Times New Roman" w:eastAsia="Times New Roman" w:hAnsi="Times New Roman" w:cs="Times New Roman"/>
                        <w:color w:val="000000"/>
                      </w:rPr>
                    </w:rPrChange>
                  </w:rPr>
                  <w:delText>.</w:delText>
                </w:r>
              </w:del>
            </w:sdtContent>
          </w:sdt>
        </w:sdtContent>
      </w:sdt>
      <w:commentRangeEnd w:id="243"/>
      <w:r>
        <w:commentReference w:id="243"/>
      </w:r>
      <w:sdt>
        <w:sdtPr>
          <w:tag w:val="goog_rdk_155"/>
          <w:id w:val="1431624031"/>
        </w:sdtPr>
        <w:sdtContent/>
      </w:sdt>
    </w:p>
    <w:sdt>
      <w:sdtPr>
        <w:tag w:val="goog_rdk_159"/>
        <w:id w:val="1248930461"/>
      </w:sdtPr>
      <w:sdtContent>
        <w:p w14:paraId="000000F0" w14:textId="77777777" w:rsidR="009F1887" w:rsidRDefault="00EC15FD">
          <w:pPr>
            <w:keepNext/>
            <w:keepLines/>
            <w:numPr>
              <w:ilvl w:val="0"/>
              <w:numId w:val="60"/>
            </w:numPr>
            <w:pBdr>
              <w:top w:val="nil"/>
              <w:left w:val="nil"/>
              <w:bottom w:val="nil"/>
              <w:right w:val="nil"/>
              <w:between w:val="nil"/>
            </w:pBdr>
            <w:spacing w:after="240"/>
            <w:jc w:val="both"/>
            <w:rPr>
              <w:ins w:id="270" w:author="Author" w:date="2020-07-15T05:14:00Z"/>
              <w:rFonts w:ascii="Times New Roman" w:eastAsia="Times New Roman" w:hAnsi="Times New Roman" w:cs="Times New Roman"/>
              <w:b/>
              <w:i/>
              <w:color w:val="000000"/>
            </w:rPr>
          </w:pPr>
          <w:sdt>
            <w:sdtPr>
              <w:tag w:val="goog_rdk_157"/>
              <w:id w:val="1870267736"/>
            </w:sdtPr>
            <w:sdtContent>
              <w:ins w:id="271" w:author="Author" w:date="2020-07-15T05:14:00Z">
                <w:r w:rsidR="00790D5B">
                  <w:rPr>
                    <w:rFonts w:ascii="Times New Roman" w:eastAsia="Times New Roman" w:hAnsi="Times New Roman" w:cs="Times New Roman"/>
                    <w:b/>
                    <w:i/>
                    <w:color w:val="000000"/>
                  </w:rPr>
                  <w:t>National Food Agency under the MEPA.</w:t>
                </w:r>
              </w:ins>
              <w:sdt>
                <w:sdtPr>
                  <w:tag w:val="goog_rdk_158"/>
                  <w:id w:val="2032372568"/>
                </w:sdtPr>
                <w:sdtContent>
                  <w:commentRangeStart w:id="272"/>
                </w:sdtContent>
              </w:sdt>
              <w:ins w:id="273" w:author="Author" w:date="2020-07-15T05:14:00Z">
                <w:r w:rsidR="00790D5B">
                  <w:rPr>
                    <w:rFonts w:ascii="Times New Roman" w:eastAsia="Times New Roman" w:hAnsi="Times New Roman" w:cs="Times New Roman"/>
                    <w:b/>
                    <w:i/>
                    <w:color w:val="000000"/>
                  </w:rPr>
                  <w:t xml:space="preserve"> </w:t>
                </w:r>
                <w:r w:rsidR="00790D5B">
                  <w:rPr>
                    <w:rFonts w:ascii="Times New Roman" w:eastAsia="Times New Roman" w:hAnsi="Times New Roman" w:cs="Times New Roman"/>
                    <w:color w:val="000000"/>
                  </w:rPr>
                  <w:t>The agency implements state funded program which considers regular testing and survilance or drinking water supplied to citizens of Georgia to assure the quality and safety;</w:t>
                </w:r>
                <w:r w:rsidR="00790D5B">
                  <w:rPr>
                    <w:rFonts w:ascii="Times New Roman" w:eastAsia="Times New Roman" w:hAnsi="Times New Roman" w:cs="Times New Roman"/>
                    <w:b/>
                    <w:i/>
                    <w:color w:val="000000"/>
                  </w:rPr>
                  <w:t xml:space="preserve"> </w:t>
                </w:r>
                <w:commentRangeEnd w:id="272"/>
                <w:r w:rsidR="00790D5B">
                  <w:commentReference w:id="272"/>
                </w:r>
              </w:ins>
            </w:sdtContent>
          </w:sdt>
        </w:p>
      </w:sdtContent>
    </w:sdt>
    <w:sdt>
      <w:sdtPr>
        <w:tag w:val="goog_rdk_166"/>
        <w:id w:val="-1903669528"/>
      </w:sdtPr>
      <w:sdtContent>
        <w:p w14:paraId="000000F1" w14:textId="77777777" w:rsidR="009F1887" w:rsidRDefault="00EC15FD">
          <w:pPr>
            <w:keepNext/>
            <w:keepLines/>
            <w:numPr>
              <w:ilvl w:val="0"/>
              <w:numId w:val="60"/>
            </w:numPr>
            <w:pBdr>
              <w:top w:val="nil"/>
              <w:left w:val="nil"/>
              <w:bottom w:val="nil"/>
              <w:right w:val="nil"/>
              <w:between w:val="nil"/>
            </w:pBdr>
            <w:spacing w:after="240"/>
            <w:jc w:val="both"/>
            <w:rPr>
              <w:ins w:id="274" w:author="Giorgi Kobaladze" w:date="2020-07-17T06:33:00Z"/>
              <w:rFonts w:ascii="Times New Roman" w:eastAsia="Times New Roman" w:hAnsi="Times New Roman" w:cs="Times New Roman"/>
              <w:b/>
              <w:color w:val="000000"/>
            </w:rPr>
          </w:pPr>
          <w:sdt>
            <w:sdtPr>
              <w:tag w:val="goog_rdk_160"/>
              <w:id w:val="94678760"/>
            </w:sdtPr>
            <w:sdtContent>
              <w:ins w:id="275" w:author="Author" w:date="2020-07-15T05:14:00Z">
                <w:r w:rsidR="00790D5B">
                  <w:rPr>
                    <w:rFonts w:ascii="Times New Roman" w:eastAsia="Times New Roman" w:hAnsi="Times New Roman" w:cs="Times New Roman"/>
                    <w:b/>
                    <w:i/>
                    <w:color w:val="424142"/>
                    <w:sz w:val="21"/>
                    <w:szCs w:val="21"/>
                  </w:rPr>
                  <w:t xml:space="preserve">The </w:t>
                </w:r>
              </w:ins>
            </w:sdtContent>
          </w:sdt>
          <w:r w:rsidR="00790D5B">
            <w:rPr>
              <w:rFonts w:ascii="Times New Roman" w:eastAsia="Times New Roman" w:hAnsi="Times New Roman" w:cs="Times New Roman"/>
              <w:b/>
              <w:i/>
              <w:color w:val="424142"/>
              <w:sz w:val="21"/>
              <w:szCs w:val="21"/>
              <w:u w:val="single"/>
            </w:rPr>
            <w:t>D</w:t>
          </w:r>
          <w:sdt>
            <w:sdtPr>
              <w:tag w:val="goog_rdk_161"/>
              <w:id w:val="1476803123"/>
            </w:sdtPr>
            <w:sdtContent>
              <w:ins w:id="276" w:author="Author" w:date="2020-07-15T05:14:00Z">
                <w:r w:rsidR="00790D5B">
                  <w:rPr>
                    <w:rFonts w:ascii="Times New Roman" w:eastAsia="Times New Roman" w:hAnsi="Times New Roman" w:cs="Times New Roman"/>
                    <w:b/>
                    <w:i/>
                    <w:color w:val="424142"/>
                    <w:sz w:val="21"/>
                    <w:szCs w:val="21"/>
                  </w:rPr>
                  <w:t>epartment of Waste and Chemicals Management</w:t>
                </w:r>
                <w:r w:rsidR="00790D5B">
                  <w:rPr>
                    <w:rFonts w:ascii="Times New Roman" w:eastAsia="Times New Roman" w:hAnsi="Times New Roman" w:cs="Times New Roman"/>
                    <w:b/>
                    <w:i/>
                    <w:color w:val="000000"/>
                  </w:rPr>
                  <w:t xml:space="preserve"> under the MEPA</w:t>
                </w:r>
              </w:ins>
            </w:sdtContent>
          </w:sdt>
          <w:sdt>
            <w:sdtPr>
              <w:tag w:val="goog_rdk_162"/>
              <w:id w:val="-132566397"/>
            </w:sdtPr>
            <w:sdtContent>
              <w:ins w:id="277" w:author="Giorgi Kobaladze" w:date="2020-07-17T06:33:00Z">
                <w:r w:rsidR="00790D5B">
                  <w:rPr>
                    <w:rFonts w:ascii="Times New Roman" w:eastAsia="Times New Roman" w:hAnsi="Times New Roman" w:cs="Times New Roman"/>
                    <w:b/>
                    <w:i/>
                    <w:color w:val="000000"/>
                  </w:rPr>
                  <w:t xml:space="preserve"> </w:t>
                </w:r>
              </w:ins>
            </w:sdtContent>
          </w:sdt>
          <w:sdt>
            <w:sdtPr>
              <w:tag w:val="goog_rdk_163"/>
              <w:id w:val="-1325356544"/>
            </w:sdtPr>
            <w:sdtContent>
              <w:customXmlInsRangeStart w:id="278" w:author="Author" w:date="2020-07-15T05:14:00Z"/>
              <w:sdt>
                <w:sdtPr>
                  <w:tag w:val="goog_rdk_164"/>
                  <w:id w:val="526529386"/>
                </w:sdtPr>
                <w:sdtContent>
                  <w:customXmlInsRangeEnd w:id="278"/>
                  <w:ins w:id="279" w:author="Author" w:date="2020-07-15T05:14:00Z">
                    <w:del w:id="280" w:author="Giorgi Kobaladze" w:date="2020-07-17T06:33:00Z">
                      <w:r w:rsidR="00790D5B">
                        <w:rPr>
                          <w:rFonts w:ascii="Times New Roman" w:eastAsia="Times New Roman" w:hAnsi="Times New Roman" w:cs="Times New Roman"/>
                          <w:color w:val="000000"/>
                        </w:rPr>
                        <w:delText xml:space="preserve"> </w:delText>
                      </w:r>
                    </w:del>
                  </w:ins>
                  <w:customXmlInsRangeStart w:id="281" w:author="Author" w:date="2020-07-15T05:14:00Z"/>
                </w:sdtContent>
              </w:sdt>
              <w:customXmlInsRangeEnd w:id="281"/>
            </w:sdtContent>
          </w:sdt>
          <w:sdt>
            <w:sdtPr>
              <w:tag w:val="goog_rdk_165"/>
              <w:id w:val="410974315"/>
            </w:sdtPr>
            <w:sdtContent>
              <w:ins w:id="282" w:author="Giorgi Kobaladze" w:date="2020-07-17T06:33:00Z">
                <w:r w:rsidR="00790D5B">
                  <w:rPr>
                    <w:rFonts w:ascii="Times New Roman" w:eastAsia="Times New Roman" w:hAnsi="Times New Roman" w:cs="Times New Roman"/>
                    <w:color w:val="000000"/>
                  </w:rPr>
                  <w:t xml:space="preserve">is responsible for the elaboration and development of the National Waste Management Strategy, the Biodegradable Municipal Waste Management Strategy and the Waste Management National Action Plan and for the execution of the waste management state control. The department drafts ordinances and regulations related to waste and bounding values of pollutants (toxic, metal and minerals) accepted in liquid and solid forms. [A1] </w:t>
                </w:r>
              </w:ins>
            </w:sdtContent>
          </w:sdt>
        </w:p>
      </w:sdtContent>
    </w:sdt>
    <w:sdt>
      <w:sdtPr>
        <w:tag w:val="goog_rdk_168"/>
        <w:id w:val="-1443289564"/>
      </w:sdtPr>
      <w:sdtContent>
        <w:p w14:paraId="000000F2" w14:textId="77777777" w:rsidR="009F1887" w:rsidRDefault="00EC15FD">
          <w:pPr>
            <w:keepNext/>
            <w:keepLines/>
            <w:spacing w:before="240" w:after="240"/>
            <w:ind w:left="720"/>
            <w:jc w:val="both"/>
            <w:rPr>
              <w:ins w:id="283" w:author="Giorgi Kobaladze" w:date="2020-07-17T06:33:00Z"/>
              <w:rFonts w:ascii="Times New Roman" w:eastAsia="Times New Roman" w:hAnsi="Times New Roman" w:cs="Times New Roman"/>
              <w:color w:val="000000"/>
            </w:rPr>
          </w:pPr>
          <w:sdt>
            <w:sdtPr>
              <w:tag w:val="goog_rdk_167"/>
              <w:id w:val="1601065809"/>
            </w:sdtPr>
            <w:sdtContent>
              <w:ins w:id="284" w:author="Giorgi Kobaladze" w:date="2020-07-17T06:33:00Z">
                <w:r w:rsidR="00790D5B">
                  <w:rPr>
                    <w:rFonts w:ascii="Times New Roman" w:eastAsia="Times New Roman" w:hAnsi="Times New Roman" w:cs="Times New Roman"/>
                    <w:color w:val="000000"/>
                  </w:rPr>
                  <w:t>The MILSHA and the MEPA are responsible for the management and control of medical waste, and the department of waste and chemicals management is mandated to review and approve waste management plans prepared by medical facilities.</w:t>
                </w:r>
              </w:ins>
            </w:sdtContent>
          </w:sdt>
        </w:p>
      </w:sdtContent>
    </w:sdt>
    <w:sdt>
      <w:sdtPr>
        <w:tag w:val="goog_rdk_170"/>
        <w:id w:val="602916230"/>
      </w:sdtPr>
      <w:sdtContent>
        <w:p w14:paraId="000000F3" w14:textId="77777777" w:rsidR="009F1887" w:rsidRDefault="00EC15FD">
          <w:pPr>
            <w:keepNext/>
            <w:keepLines/>
            <w:numPr>
              <w:ilvl w:val="0"/>
              <w:numId w:val="60"/>
            </w:numPr>
            <w:spacing w:after="240"/>
            <w:jc w:val="both"/>
            <w:rPr>
              <w:ins w:id="285" w:author="Giorgi Kobaladze" w:date="2020-07-17T06:33:00Z"/>
              <w:rFonts w:ascii="Times New Roman" w:eastAsia="Times New Roman" w:hAnsi="Times New Roman" w:cs="Times New Roman"/>
              <w:b/>
            </w:rPr>
          </w:pPr>
          <w:sdt>
            <w:sdtPr>
              <w:tag w:val="goog_rdk_169"/>
              <w:id w:val="-871220904"/>
            </w:sdtPr>
            <w:sdtContent>
              <w:ins w:id="286" w:author="Giorgi Kobaladze" w:date="2020-07-17T06:33:00Z">
                <w:r>
                  <w:pict w14:anchorId="020758AE">
                    <v:rect id="_x0000_i1027" style="width:0;height:1.5pt" o:hralign="center" o:hrstd="t" o:hr="t" fillcolor="#a0a0a0" stroked="f"/>
                  </w:pict>
                </w:r>
              </w:ins>
            </w:sdtContent>
          </w:sdt>
        </w:p>
      </w:sdtContent>
    </w:sdt>
    <w:sdt>
      <w:sdtPr>
        <w:tag w:val="goog_rdk_172"/>
        <w:id w:val="-1375530582"/>
      </w:sdtPr>
      <w:sdtContent>
        <w:p w14:paraId="000000F4" w14:textId="77777777" w:rsidR="009F1887" w:rsidRDefault="00EC15FD">
          <w:pPr>
            <w:keepNext/>
            <w:keepLines/>
            <w:numPr>
              <w:ilvl w:val="0"/>
              <w:numId w:val="60"/>
            </w:numPr>
            <w:spacing w:before="240" w:after="240"/>
            <w:jc w:val="both"/>
            <w:rPr>
              <w:ins w:id="287" w:author="Giorgi Kobaladze" w:date="2020-07-17T06:33:00Z"/>
              <w:rFonts w:ascii="Times New Roman" w:eastAsia="Times New Roman" w:hAnsi="Times New Roman" w:cs="Times New Roman"/>
              <w:b/>
            </w:rPr>
          </w:pPr>
          <w:sdt>
            <w:sdtPr>
              <w:tag w:val="goog_rdk_171"/>
              <w:id w:val="261430587"/>
            </w:sdtPr>
            <w:sdtContent>
              <w:ins w:id="288" w:author="Giorgi Kobaladze" w:date="2020-07-17T06:33:00Z">
                <w:r w:rsidR="00790D5B">
                  <w:rPr>
                    <w:rFonts w:ascii="Times New Roman" w:eastAsia="Times New Roman" w:hAnsi="Times New Roman" w:cs="Times New Roman"/>
                    <w:color w:val="000000"/>
                  </w:rPr>
                  <w:t xml:space="preserve"> [A1]Erroneous write-up. Meaning unclear.</w:t>
                </w:r>
              </w:ins>
            </w:sdtContent>
          </w:sdt>
        </w:p>
      </w:sdtContent>
    </w:sdt>
    <w:sdt>
      <w:sdtPr>
        <w:tag w:val="goog_rdk_184"/>
        <w:id w:val="-368833003"/>
      </w:sdtPr>
      <w:sdtContent>
        <w:p w14:paraId="000000F5" w14:textId="77777777" w:rsidR="009F1887" w:rsidRPr="009F1887" w:rsidRDefault="00EC15FD">
          <w:pPr>
            <w:keepNext/>
            <w:keepLines/>
            <w:numPr>
              <w:ilvl w:val="0"/>
              <w:numId w:val="60"/>
            </w:numPr>
            <w:pBdr>
              <w:top w:val="nil"/>
              <w:left w:val="nil"/>
              <w:bottom w:val="nil"/>
              <w:right w:val="nil"/>
              <w:between w:val="nil"/>
            </w:pBdr>
            <w:spacing w:after="240"/>
            <w:jc w:val="both"/>
            <w:rPr>
              <w:ins w:id="289" w:author="Author" w:date="2020-07-15T05:14:00Z"/>
              <w:rFonts w:ascii="Times New Roman" w:eastAsia="Times New Roman" w:hAnsi="Times New Roman" w:cs="Times New Roman"/>
              <w:rPrChange w:id="290" w:author="Giorgi Kobaladze" w:date="2020-07-17T06:33:00Z">
                <w:rPr>
                  <w:ins w:id="291" w:author="Author" w:date="2020-07-15T05:14:00Z"/>
                  <w:rFonts w:ascii="Times New Roman" w:eastAsia="Times New Roman" w:hAnsi="Times New Roman" w:cs="Times New Roman"/>
                  <w:b/>
                  <w:color w:val="000000"/>
                </w:rPr>
              </w:rPrChange>
            </w:rPr>
          </w:pPr>
          <w:sdt>
            <w:sdtPr>
              <w:tag w:val="goog_rdk_175"/>
              <w:id w:val="1986888340"/>
            </w:sdtPr>
            <w:sdtContent>
              <w:customXmlInsRangeStart w:id="292" w:author="Author" w:date="2020-07-15T05:14:00Z"/>
              <w:sdt>
                <w:sdtPr>
                  <w:tag w:val="goog_rdk_176"/>
                  <w:id w:val="-285192431"/>
                </w:sdtPr>
                <w:sdtContent>
                  <w:customXmlInsRangeEnd w:id="292"/>
                  <w:customXmlInsRangeStart w:id="293" w:author="Author" w:date="2020-07-15T05:14:00Z"/>
                </w:sdtContent>
              </w:sdt>
              <w:customXmlInsRangeEnd w:id="293"/>
              <w:sdt>
                <w:sdtPr>
                  <w:tag w:val="goog_rdk_177"/>
                  <w:id w:val="-1808923016"/>
                </w:sdtPr>
                <w:sdtContent>
                  <w:commentRangeStart w:id="294"/>
                </w:sdtContent>
              </w:sdt>
              <w:ins w:id="295" w:author="Author" w:date="2020-07-15T05:14:00Z">
                <w:del w:id="296" w:author="Giorgi Kobaladze" w:date="2020-07-17T06:33:00Z">
                  <w:r w:rsidR="00790D5B">
                    <w:rPr>
                      <w:rFonts w:ascii="Times New Roman" w:eastAsia="Times New Roman" w:hAnsi="Times New Roman" w:cs="Times New Roman"/>
                      <w:color w:val="000000"/>
                    </w:rPr>
                    <w:delText>defines waste related regulations and bounding values of pol</w:delText>
                  </w:r>
                </w:del>
              </w:ins>
            </w:sdtContent>
          </w:sdt>
          <w:sdt>
            <w:sdtPr>
              <w:tag w:val="goog_rdk_178"/>
              <w:id w:val="-1299072061"/>
            </w:sdtPr>
            <w:sdtContent>
              <w:del w:id="297" w:author="Giorgi Kobaladze" w:date="2020-07-17T06:33:00Z">
                <w:r w:rsidR="00790D5B">
                  <w:rPr>
                    <w:rFonts w:ascii="Times New Roman" w:eastAsia="Times New Roman" w:hAnsi="Times New Roman" w:cs="Times New Roman"/>
                    <w:color w:val="000000"/>
                  </w:rPr>
                  <w:delText>l</w:delText>
                </w:r>
              </w:del>
            </w:sdtContent>
          </w:sdt>
          <w:sdt>
            <w:sdtPr>
              <w:tag w:val="goog_rdk_179"/>
              <w:id w:val="644944028"/>
            </w:sdtPr>
            <w:sdtContent>
              <w:customXmlInsRangeStart w:id="298" w:author="Author" w:date="2020-07-15T05:14:00Z"/>
              <w:sdt>
                <w:sdtPr>
                  <w:tag w:val="goog_rdk_180"/>
                  <w:id w:val="-1790581480"/>
                </w:sdtPr>
                <w:sdtContent>
                  <w:customXmlInsRangeEnd w:id="298"/>
                  <w:ins w:id="299" w:author="Author" w:date="2020-07-15T05:14:00Z">
                    <w:del w:id="300" w:author="Giorgi Kobaladze" w:date="2020-07-17T06:33:00Z">
                      <w:r w:rsidR="00790D5B">
                        <w:rPr>
                          <w:rFonts w:ascii="Times New Roman" w:eastAsia="Times New Roman" w:hAnsi="Times New Roman" w:cs="Times New Roman"/>
                          <w:color w:val="000000"/>
                        </w:rPr>
                        <w:delText xml:space="preserve">utants (toxic, metal and minerals) accepted in liquied and solid forms. </w:delText>
                      </w:r>
                    </w:del>
                  </w:ins>
                  <w:customXmlInsRangeStart w:id="301" w:author="Author" w:date="2020-07-15T05:14:00Z"/>
                </w:sdtContent>
              </w:sdt>
              <w:customXmlInsRangeEnd w:id="301"/>
            </w:sdtContent>
          </w:sdt>
          <w:commentRangeEnd w:id="294"/>
          <w:sdt>
            <w:sdtPr>
              <w:tag w:val="goog_rdk_181"/>
              <w:id w:val="802200598"/>
            </w:sdtPr>
            <w:sdtContent>
              <w:del w:id="302" w:author="Giorgi Kobaladze" w:date="2020-07-17T06:33:00Z">
                <w:r w:rsidR="00790D5B">
                  <w:commentReference w:id="294"/>
                </w:r>
                <w:r w:rsidR="00790D5B">
                  <w:rPr>
                    <w:rFonts w:ascii="Times New Roman" w:eastAsia="Times New Roman" w:hAnsi="Times New Roman" w:cs="Times New Roman"/>
                    <w:color w:val="000000"/>
                  </w:rPr>
                  <w:delText>The Department is mandated to review and approve waste management plans prepared by medical facilities.</w:delText>
                </w:r>
              </w:del>
            </w:sdtContent>
          </w:sdt>
          <w:sdt>
            <w:sdtPr>
              <w:tag w:val="goog_rdk_182"/>
              <w:id w:val="147869306"/>
            </w:sdtPr>
            <w:sdtContent>
              <w:sdt>
                <w:sdtPr>
                  <w:tag w:val="goog_rdk_183"/>
                  <w:id w:val="1229273304"/>
                </w:sdtPr>
                <w:sdtContent/>
              </w:sdt>
            </w:sdtContent>
          </w:sdt>
        </w:p>
      </w:sdtContent>
    </w:sdt>
    <w:sdt>
      <w:sdtPr>
        <w:tag w:val="goog_rdk_186"/>
        <w:id w:val="-931740725"/>
      </w:sdtPr>
      <w:sdtContent>
        <w:p w14:paraId="000000F6" w14:textId="77777777" w:rsidR="009F1887" w:rsidRDefault="00790D5B">
          <w:pPr>
            <w:keepNext/>
            <w:keepLines/>
            <w:numPr>
              <w:ilvl w:val="0"/>
              <w:numId w:val="60"/>
            </w:numPr>
            <w:pBdr>
              <w:top w:val="nil"/>
              <w:left w:val="nil"/>
              <w:bottom w:val="nil"/>
              <w:right w:val="nil"/>
              <w:between w:val="nil"/>
            </w:pBdr>
            <w:spacing w:after="240"/>
            <w:jc w:val="both"/>
            <w:rPr>
              <w:ins w:id="303" w:author="Giorgi Kobaladze" w:date="2020-07-17T06:34:00Z"/>
              <w:rFonts w:ascii="Times New Roman" w:eastAsia="Times New Roman" w:hAnsi="Times New Roman" w:cs="Times New Roman"/>
              <w:i/>
              <w:color w:val="000000"/>
            </w:rPr>
          </w:pPr>
          <w:r>
            <w:rPr>
              <w:rFonts w:ascii="Times New Roman" w:eastAsia="Times New Roman" w:hAnsi="Times New Roman" w:cs="Times New Roman"/>
              <w:b/>
              <w:i/>
              <w:color w:val="000000"/>
            </w:rPr>
            <w:t>Agency of Nuclear and Radiation Safety (ANRS)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under MEPA acts as a State regulatory body for nuclear and radiation activity in Georgia, including handling with radioactive waste. ANRS is responsible for authorization, regulation, inspection and enforcement for activity involved radioactive waste. ANRS is also mandated to perform State control on physical protection systems, elaborates draft laws and regulations, establishes international relationships and, conducts first responder actions in case of radiological emergency situations.</w:t>
          </w:r>
          <w:sdt>
            <w:sdtPr>
              <w:tag w:val="goog_rdk_185"/>
              <w:id w:val="2037076978"/>
            </w:sdtPr>
            <w:sdtContent/>
          </w:sdt>
        </w:p>
      </w:sdtContent>
    </w:sdt>
    <w:sdt>
      <w:sdtPr>
        <w:tag w:val="goog_rdk_188"/>
        <w:id w:val="1084880307"/>
      </w:sdtPr>
      <w:sdtContent>
        <w:p w14:paraId="000000F7" w14:textId="77777777" w:rsidR="009F1887" w:rsidRDefault="00EC15FD">
          <w:pPr>
            <w:keepNext/>
            <w:keepLines/>
            <w:spacing w:before="240" w:after="240"/>
            <w:ind w:left="360"/>
            <w:jc w:val="both"/>
            <w:rPr>
              <w:ins w:id="304" w:author="Giorgi Kobaladze" w:date="2020-07-17T06:34:00Z"/>
              <w:rFonts w:ascii="Times New Roman" w:eastAsia="Times New Roman" w:hAnsi="Times New Roman" w:cs="Times New Roman"/>
              <w:color w:val="000000"/>
            </w:rPr>
          </w:pPr>
          <w:sdt>
            <w:sdtPr>
              <w:tag w:val="goog_rdk_187"/>
              <w:id w:val="-1522071165"/>
            </w:sdtPr>
            <w:sdtContent>
              <w:ins w:id="305" w:author="Giorgi Kobaladze" w:date="2020-07-17T06:34:00Z">
                <w:r w:rsidR="00790D5B">
                  <w:rPr>
                    <w:rFonts w:ascii="Times New Roman" w:eastAsia="Times New Roman" w:hAnsi="Times New Roman" w:cs="Times New Roman"/>
                    <w:color w:val="000000"/>
                  </w:rPr>
                  <w:t>The Interagency Coordinating Council for Countering Chemical, Biological, Radiological and Nuclear (CBRN) Threats has been established under the State Security Service of Georgia to ensure better coordination on matters related to chemicals (and other fields that pose risks). The competences of the Council include the periodical revision and update of the National Chemical, Biological, Radiological and Nuclear (CBRN) Threat Reduction Strategy, development of the Action Plan for the implementation of the strategy, revision and update of the Action Plan as appropriate and overseeing its implementation, coordination of activities carried out by different agencies in the chemical, biological, radiological and nuclear field. Along with the state agencies, the accredited scientific-research laboratories, identifying chemical substances and determining their concentrations in food and the environment, are also involved in the management of chemicals if requested.</w:t>
                </w:r>
              </w:ins>
            </w:sdtContent>
          </w:sdt>
        </w:p>
      </w:sdtContent>
    </w:sdt>
    <w:sdt>
      <w:sdtPr>
        <w:tag w:val="goog_rdk_190"/>
        <w:id w:val="1694653638"/>
      </w:sdtPr>
      <w:sdtContent>
        <w:p w14:paraId="000000F8" w14:textId="77777777" w:rsidR="009F1887" w:rsidRPr="009F1887" w:rsidRDefault="00EC15FD">
          <w:pPr>
            <w:keepNext/>
            <w:keepLines/>
            <w:pBdr>
              <w:top w:val="nil"/>
              <w:left w:val="nil"/>
              <w:bottom w:val="nil"/>
              <w:right w:val="nil"/>
              <w:between w:val="nil"/>
            </w:pBdr>
            <w:spacing w:after="240"/>
            <w:jc w:val="both"/>
            <w:rPr>
              <w:rFonts w:ascii="Arial" w:eastAsia="Arial" w:hAnsi="Arial" w:cs="Arial"/>
              <w:color w:val="000000"/>
              <w:rPrChange w:id="306" w:author="Giorgi Kobaladze" w:date="2020-07-17T06:34:00Z">
                <w:rPr>
                  <w:rFonts w:ascii="Times New Roman" w:eastAsia="Times New Roman" w:hAnsi="Times New Roman" w:cs="Times New Roman"/>
                  <w:i/>
                  <w:color w:val="000000"/>
                </w:rPr>
              </w:rPrChange>
            </w:rPr>
            <w:pPrChange w:id="307" w:author="Giorgi Kobaladze" w:date="2020-07-17T06:34:00Z">
              <w:pPr>
                <w:keepNext/>
                <w:keepLines/>
                <w:numPr>
                  <w:numId w:val="60"/>
                </w:numPr>
                <w:pBdr>
                  <w:top w:val="nil"/>
                  <w:left w:val="nil"/>
                  <w:bottom w:val="nil"/>
                  <w:right w:val="nil"/>
                  <w:between w:val="nil"/>
                </w:pBdr>
                <w:spacing w:after="240"/>
                <w:ind w:left="720" w:hanging="360"/>
                <w:jc w:val="both"/>
              </w:pPr>
            </w:pPrChange>
          </w:pPr>
          <w:sdt>
            <w:sdtPr>
              <w:tag w:val="goog_rdk_189"/>
              <w:id w:val="1310361297"/>
            </w:sdtPr>
            <w:sdtContent/>
          </w:sdt>
        </w:p>
      </w:sdtContent>
    </w:sdt>
    <w:p w14:paraId="000000F9" w14:textId="77777777" w:rsidR="009F1887" w:rsidRDefault="00790D5B">
      <w:pPr>
        <w:pStyle w:val="Heading2"/>
        <w:numPr>
          <w:ilvl w:val="1"/>
          <w:numId w:val="66"/>
        </w:numPr>
        <w:spacing w:after="240"/>
        <w:ind w:left="360"/>
      </w:pPr>
      <w:bookmarkStart w:id="308" w:name="_heading=h.2s8eyo1" w:colFirst="0" w:colLast="0"/>
      <w:bookmarkEnd w:id="308"/>
      <w:r>
        <w:t xml:space="preserve">Overview of National </w:t>
      </w:r>
      <w:sdt>
        <w:sdtPr>
          <w:tag w:val="goog_rdk_191"/>
          <w:id w:val="2009245852"/>
        </w:sdtPr>
        <w:sdtContent>
          <w:commentRangeStart w:id="309"/>
        </w:sdtContent>
      </w:sdt>
      <w:sdt>
        <w:sdtPr>
          <w:tag w:val="goog_rdk_192"/>
          <w:id w:val="-841160924"/>
        </w:sdtPr>
        <w:sdtContent>
          <w:commentRangeStart w:id="310"/>
        </w:sdtContent>
      </w:sdt>
      <w:r>
        <w:t>Social,</w:t>
      </w:r>
      <w:commentRangeEnd w:id="309"/>
      <w:r>
        <w:commentReference w:id="309"/>
      </w:r>
      <w:commentRangeEnd w:id="310"/>
      <w:r>
        <w:commentReference w:id="310"/>
      </w:r>
      <w:r>
        <w:t xml:space="preserve"> Property and Labor Legislation Relevant for the Project </w:t>
      </w:r>
    </w:p>
    <w:p w14:paraId="000000FA"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The Constitution of Georgia </w:t>
      </w:r>
      <w:r>
        <w:rPr>
          <w:rFonts w:ascii="Times New Roman" w:eastAsia="Times New Roman" w:hAnsi="Times New Roman" w:cs="Times New Roman"/>
          <w:i/>
          <w:color w:val="000000"/>
        </w:rPr>
        <w:t>(1995</w:t>
      </w:r>
      <w:r>
        <w:rPr>
          <w:rFonts w:ascii="Merriweather" w:eastAsia="Merriweather" w:hAnsi="Merriweather" w:cs="Merriweather"/>
          <w:i/>
          <w:color w:val="000000"/>
        </w:rPr>
        <w:t>,</w:t>
      </w:r>
      <w:r>
        <w:rPr>
          <w:rFonts w:ascii="Times New Roman" w:eastAsia="Times New Roman" w:hAnsi="Times New Roman" w:cs="Times New Roman"/>
          <w:i/>
          <w:color w:val="000000"/>
        </w:rPr>
        <w:t xml:space="preserve"> last amended in 2017). T</w:t>
      </w:r>
      <w:r>
        <w:rPr>
          <w:rFonts w:ascii="Times New Roman" w:eastAsia="Times New Roman" w:hAnsi="Times New Roman" w:cs="Times New Roman"/>
          <w:color w:val="000000"/>
        </w:rPr>
        <w:t xml:space="preserve">he Constitution recognizes and guarantees the right of physical and legal entities to own and inherit property. Expropriation of private property by the state is allowed “in cases of pressing social need” based on the court decision or in case of an urgent necessity established by the organic law of Georgia on the Procedure for Deprivation of Property for Pressing Social Needs . The Constitution also specifies that full and fair compensation should be paid for the private property take, and it should be exempt from any taxes and fees. </w:t>
      </w:r>
    </w:p>
    <w:p w14:paraId="000000FB"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Law on the Procedures for Expropriation of Property for Pressing Social Needs</w:t>
      </w:r>
      <w:r>
        <w:rPr>
          <w:rFonts w:ascii="Times New Roman" w:eastAsia="Times New Roman" w:hAnsi="Times New Roman" w:cs="Times New Roman"/>
          <w:i/>
          <w:color w:val="000000"/>
        </w:rPr>
        <w:t xml:space="preserve"> (1999, last amended in 2018) </w:t>
      </w:r>
      <w:r>
        <w:rPr>
          <w:rFonts w:ascii="Times New Roman" w:eastAsia="Times New Roman" w:hAnsi="Times New Roman" w:cs="Times New Roman"/>
          <w:color w:val="000000"/>
        </w:rPr>
        <w:t xml:space="preserve">describes how a property can be forcibly acquired. The law lists the types of projects for which expropriation procedures might be used. However, it also has an ‘other’ category which is unclear and poses a threat for inadequate application. For the expropriation process to take place, the interested government entity has to address the expropriation commission at the Ministry of Economy and Sustainable Development (MoESD), after the negotiations for a required land have failed. MoESD reviews the detailed application from the government entity and issues a decree, addressing a relevant municipal court to initiative expropriation proceedings. While the law on expropriation regulates issues related to full ownership, easement procedures are beyond its coverage. </w:t>
      </w:r>
    </w:p>
    <w:p w14:paraId="000000FC"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Civil Code</w:t>
      </w:r>
      <w:r>
        <w:rPr>
          <w:rFonts w:ascii="Times New Roman" w:eastAsia="Times New Roman" w:hAnsi="Times New Roman" w:cs="Times New Roman"/>
          <w:i/>
          <w:color w:val="000000"/>
        </w:rPr>
        <w:t xml:space="preserve"> (1997, last amended in 2019) </w:t>
      </w:r>
      <w:r>
        <w:rPr>
          <w:rFonts w:ascii="Times New Roman" w:eastAsia="Times New Roman" w:hAnsi="Times New Roman" w:cs="Times New Roman"/>
          <w:color w:val="000000"/>
        </w:rPr>
        <w:t xml:space="preserve">lays out the procedures for acquiring the Right-of-Way and covers displacement issues in the chapter devoted to the limited use of property belonging to another person. Specifically, the Civil Code introduces the following concepts: </w:t>
      </w:r>
    </w:p>
    <w:p w14:paraId="000000FD" w14:textId="77777777" w:rsidR="009F1887" w:rsidRDefault="00790D5B">
      <w:pPr>
        <w:keepNext/>
        <w:keepLines/>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right to superficies (right to erect a structure): essentially a lease over a piece of land granted by the owner to another legal entity for the purpose of erecting a structure on or beneath the land. The right thus defined is temporary (no longer than 59 years), and either based on the payment of a price or free-of-charge. The beneficiary of the right to build can alienate the right to a third party. Right to build must be registered.</w:t>
      </w:r>
    </w:p>
    <w:p w14:paraId="000000FE" w14:textId="77777777" w:rsidR="009F1887" w:rsidRDefault="00790D5B">
      <w:pPr>
        <w:keepNext/>
        <w:keepLines/>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Usufruct: the right to use an immovable object and can be exerted jointly or separately from the ownership right over this same immoveable. It can be transferred into use of another person or entity, so that the latter will be authorized to use this object as its owner and not permit third parties to use it, but, unlike the owner, this person/entity does not have the right to alienate, hypothecate or bequeath this object. Usufruct may be based on payment or free-of-charge.</w:t>
      </w:r>
    </w:p>
    <w:p w14:paraId="000000FF" w14:textId="77777777" w:rsidR="009F1887" w:rsidRDefault="00790D5B">
      <w:pPr>
        <w:keepNext/>
        <w:keepLines/>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Servitude: a land parcel or other immovable property can be used (encumbered) for the benefit of the owner of another land parcel or other immovable property, so that the property owner will have the right to use this parcel, or it will be forbidden for the owner to carry out certain activities on the parcel, or the use of certain rights of the owner of the encumbered parcel. Servitude may be based on payment or free-of-charge.</w:t>
      </w:r>
    </w:p>
    <w:p w14:paraId="00000100" w14:textId="77777777" w:rsidR="009F1887" w:rsidRDefault="00790D5B">
      <w:pPr>
        <w:keepNext/>
        <w:keepLines/>
        <w:pBdr>
          <w:top w:val="nil"/>
          <w:left w:val="nil"/>
          <w:bottom w:val="nil"/>
          <w:right w:val="nil"/>
          <w:between w:val="nil"/>
        </w:pBdr>
        <w:spacing w:after="24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Civil Code also defines and regulates procedures of lease and rent:</w:t>
      </w:r>
    </w:p>
    <w:p w14:paraId="00000101" w14:textId="77777777" w:rsidR="009F1887" w:rsidRDefault="00790D5B">
      <w:pPr>
        <w:keepNext/>
        <w:keepLines/>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Lease: Under the lease agreement, the lessor (owner) is obliged to transfer to the lessee (user) defined property into temporary use and, in course of the lease term, to ensure the possibility to harvest the crop, if it is produced, as income, as a result of correct management of the farming. The lessee is obliged to pay to the lessor the agreed lease payment. Lease payment may be determined both in cash or in-kind.</w:t>
      </w:r>
    </w:p>
    <w:p w14:paraId="00000102" w14:textId="77777777" w:rsidR="009F1887" w:rsidRDefault="00790D5B">
      <w:pPr>
        <w:keepNext/>
        <w:keepLines/>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Rent: Under the rent agreement, the person who rents out the property (owner) is obliged to transfer into use of the renter (user) the object, for a defined period of time. The renter is obliged to pay to the owner the agreed rent amount.</w:t>
      </w:r>
    </w:p>
    <w:p w14:paraId="00000103" w14:textId="77777777" w:rsidR="009F1887" w:rsidRDefault="00790D5B">
      <w:pPr>
        <w:keepNext/>
        <w:keepLines/>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b/>
          <w:i/>
        </w:rPr>
        <w:t xml:space="preserve">Law of Georgia on Social Assistance (2006, last amended in 2020) </w:t>
      </w:r>
      <w:r>
        <w:rPr>
          <w:rFonts w:ascii="Times New Roman" w:eastAsia="Times New Roman" w:hAnsi="Times New Roman" w:cs="Times New Roman"/>
        </w:rPr>
        <w:t>– The Law applies to persons who are in need of special care and are lawful residents of Georgia, and deprived families and homeless persons and aims to provide fair, targeted and effective assistance to people through developing the organized social assistance system. The Law regulates issues and relations concerning social assistance, defines the authorized administrative bodies involved in social assistance programs and determines types and fundamental principles for the allocation of social assistance on the territory of Georgia.</w:t>
      </w:r>
    </w:p>
    <w:p w14:paraId="00000104" w14:textId="77777777" w:rsidR="009F1887" w:rsidRDefault="00790D5B">
      <w:pPr>
        <w:keepNext/>
        <w:keepLines/>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Types of social assistance defined by the Law are:</w:t>
      </w:r>
    </w:p>
    <w:p w14:paraId="00000105" w14:textId="77777777" w:rsidR="009F1887" w:rsidRDefault="00790D5B">
      <w:pPr>
        <w:keepNext/>
        <w:keepLines/>
        <w:pBdr>
          <w:top w:val="nil"/>
          <w:left w:val="nil"/>
          <w:bottom w:val="nil"/>
          <w:right w:val="nil"/>
          <w:between w:val="nil"/>
        </w:pBdr>
        <w:spacing w:after="0" w:line="240" w:lineRule="auto"/>
        <w:ind w:left="540"/>
        <w:jc w:val="both"/>
        <w:rPr>
          <w:rFonts w:ascii="Times New Roman" w:eastAsia="Times New Roman" w:hAnsi="Times New Roman" w:cs="Times New Roman"/>
        </w:rPr>
      </w:pPr>
      <w:r>
        <w:rPr>
          <w:rFonts w:ascii="Times New Roman" w:eastAsia="Times New Roman" w:hAnsi="Times New Roman" w:cs="Times New Roman"/>
        </w:rPr>
        <w:t>a) A living allowance</w:t>
      </w:r>
    </w:p>
    <w:p w14:paraId="00000106" w14:textId="77777777" w:rsidR="009F1887" w:rsidRDefault="00790D5B">
      <w:pPr>
        <w:keepNext/>
        <w:keepLines/>
        <w:pBdr>
          <w:top w:val="nil"/>
          <w:left w:val="nil"/>
          <w:bottom w:val="nil"/>
          <w:right w:val="nil"/>
          <w:between w:val="nil"/>
        </w:pBdr>
        <w:spacing w:after="0" w:line="240" w:lineRule="auto"/>
        <w:ind w:left="540"/>
        <w:jc w:val="both"/>
        <w:rPr>
          <w:rFonts w:ascii="Times New Roman" w:eastAsia="Times New Roman" w:hAnsi="Times New Roman" w:cs="Times New Roman"/>
        </w:rPr>
      </w:pPr>
      <w:r>
        <w:rPr>
          <w:rFonts w:ascii="Times New Roman" w:eastAsia="Times New Roman" w:hAnsi="Times New Roman" w:cs="Times New Roman"/>
        </w:rPr>
        <w:t>b) A reintegration allowance</w:t>
      </w:r>
    </w:p>
    <w:p w14:paraId="00000107" w14:textId="77777777" w:rsidR="009F1887" w:rsidRDefault="00790D5B">
      <w:pPr>
        <w:keepNext/>
        <w:keepLines/>
        <w:pBdr>
          <w:top w:val="nil"/>
          <w:left w:val="nil"/>
          <w:bottom w:val="nil"/>
          <w:right w:val="nil"/>
          <w:between w:val="nil"/>
        </w:pBdr>
        <w:spacing w:after="0" w:line="240" w:lineRule="auto"/>
        <w:ind w:left="540"/>
        <w:jc w:val="both"/>
        <w:rPr>
          <w:rFonts w:ascii="Times New Roman" w:eastAsia="Times New Roman" w:hAnsi="Times New Roman" w:cs="Times New Roman"/>
        </w:rPr>
      </w:pPr>
      <w:r>
        <w:rPr>
          <w:rFonts w:ascii="Times New Roman" w:eastAsia="Times New Roman" w:hAnsi="Times New Roman" w:cs="Times New Roman"/>
        </w:rPr>
        <w:t>c) An allowance for foster care</w:t>
      </w:r>
    </w:p>
    <w:p w14:paraId="00000108" w14:textId="77777777" w:rsidR="009F1887" w:rsidRDefault="00790D5B">
      <w:pPr>
        <w:keepNext/>
        <w:keepLines/>
        <w:pBdr>
          <w:top w:val="nil"/>
          <w:left w:val="nil"/>
          <w:bottom w:val="nil"/>
          <w:right w:val="nil"/>
          <w:between w:val="nil"/>
        </w:pBdr>
        <w:spacing w:after="0" w:line="240" w:lineRule="auto"/>
        <w:ind w:left="540"/>
        <w:jc w:val="both"/>
        <w:rPr>
          <w:rFonts w:ascii="Times New Roman" w:eastAsia="Times New Roman" w:hAnsi="Times New Roman" w:cs="Times New Roman"/>
        </w:rPr>
      </w:pPr>
      <w:r>
        <w:rPr>
          <w:rFonts w:ascii="Times New Roman" w:eastAsia="Times New Roman" w:hAnsi="Times New Roman" w:cs="Times New Roman"/>
        </w:rPr>
        <w:t>d) An allowance for family care of a person of full legal age</w:t>
      </w:r>
    </w:p>
    <w:p w14:paraId="00000109" w14:textId="77777777" w:rsidR="009F1887" w:rsidRDefault="00790D5B">
      <w:pPr>
        <w:keepNext/>
        <w:keepLines/>
        <w:pBdr>
          <w:top w:val="nil"/>
          <w:left w:val="nil"/>
          <w:bottom w:val="nil"/>
          <w:right w:val="nil"/>
          <w:between w:val="nil"/>
        </w:pBdr>
        <w:spacing w:after="0" w:line="240" w:lineRule="auto"/>
        <w:ind w:left="540"/>
        <w:jc w:val="both"/>
        <w:rPr>
          <w:rFonts w:ascii="Times New Roman" w:eastAsia="Times New Roman" w:hAnsi="Times New Roman" w:cs="Times New Roman"/>
        </w:rPr>
      </w:pPr>
      <w:r>
        <w:rPr>
          <w:rFonts w:ascii="Times New Roman" w:eastAsia="Times New Roman" w:hAnsi="Times New Roman" w:cs="Times New Roman"/>
        </w:rPr>
        <w:t>e) Non-monetary social assistance</w:t>
      </w:r>
    </w:p>
    <w:p w14:paraId="0000010A" w14:textId="77777777" w:rsidR="009F1887" w:rsidRDefault="00790D5B">
      <w:pPr>
        <w:keepNext/>
        <w:keepLines/>
        <w:pBdr>
          <w:top w:val="nil"/>
          <w:left w:val="nil"/>
          <w:bottom w:val="nil"/>
          <w:right w:val="nil"/>
          <w:between w:val="nil"/>
        </w:pBdr>
        <w:spacing w:after="0" w:line="240" w:lineRule="auto"/>
        <w:ind w:left="540"/>
        <w:jc w:val="both"/>
        <w:rPr>
          <w:rFonts w:ascii="Times New Roman" w:eastAsia="Times New Roman" w:hAnsi="Times New Roman" w:cs="Times New Roman"/>
          <w:b/>
          <w:i/>
        </w:rPr>
      </w:pPr>
      <w:r>
        <w:rPr>
          <w:rFonts w:ascii="Times New Roman" w:eastAsia="Times New Roman" w:hAnsi="Times New Roman" w:cs="Times New Roman"/>
        </w:rPr>
        <w:t>f) A social package.</w:t>
      </w:r>
    </w:p>
    <w:p w14:paraId="0000010B"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Organic Law on Occupational Safety </w:t>
      </w:r>
      <w:r>
        <w:rPr>
          <w:rFonts w:ascii="Times New Roman" w:eastAsia="Times New Roman" w:hAnsi="Times New Roman" w:cs="Times New Roman"/>
          <w:i/>
          <w:color w:val="000000"/>
        </w:rPr>
        <w:t>(2019).</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The law obliges an employer to “develop consistent preventive measure politics, which shall consider working environment and working process specifications”. In order to organize implementation of objectives related to the occupational safety, the employer is obliged to have one or more occupational safety specialists or create occupational safety unit. The employer who has 20 or less employees, can him/herself conduct duties of occupational safety specialist with condition that he has undergone accredited program. If the number of employees falls between 20 to 100, the employer is obliged to have at least one occupational safety specialist. In case of 100 or more employees, the employer is obliged to create occupational safety unit, which shall consist of at least two occupational safety specialists. The occupational safety specialist shall take occupational safety training program in the relevant accredited organization. </w:t>
      </w:r>
    </w:p>
    <w:p w14:paraId="0000010C"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Labor code (2010, last amended in 2019).</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The Code regulates labor and its concomitant relations in the territory of Georgia, unless other special law or international agreements otherwise govern them. This law establishes the requirements regarding labor rights and provision of safe and healthy working conditions, employment contracts, hiring, working hours, overtime work, payment of wages, leaves, procedures of terminating employment contracts, and conciliation procedure.   </w:t>
      </w:r>
    </w:p>
    <w:p w14:paraId="0000010D"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b/>
          <w:color w:val="000000"/>
        </w:rPr>
      </w:pPr>
      <w:bookmarkStart w:id="311" w:name="_heading=h.17dp8vu" w:colFirst="0" w:colLast="0"/>
      <w:bookmarkEnd w:id="311"/>
      <w:r>
        <w:rPr>
          <w:rFonts w:ascii="Times New Roman" w:eastAsia="Times New Roman" w:hAnsi="Times New Roman" w:cs="Times New Roman"/>
          <w:b/>
          <w:i/>
          <w:color w:val="000000"/>
        </w:rPr>
        <w:t>General Administrative Code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(1999</w:t>
      </w:r>
      <w:r>
        <w:rPr>
          <w:rFonts w:ascii="Merriweather" w:eastAsia="Merriweather" w:hAnsi="Merriweather" w:cs="Merriweather"/>
          <w:b/>
          <w:i/>
          <w:color w:val="000000"/>
        </w:rPr>
        <w:t xml:space="preserve">, </w:t>
      </w:r>
      <w:r>
        <w:rPr>
          <w:rFonts w:ascii="Times New Roman" w:eastAsia="Times New Roman" w:hAnsi="Times New Roman" w:cs="Times New Roman"/>
          <w:b/>
          <w:i/>
          <w:color w:val="000000"/>
        </w:rPr>
        <w:t xml:space="preserve">last amended in </w:t>
      </w:r>
      <w:r>
        <w:rPr>
          <w:rFonts w:ascii="Merriweather" w:eastAsia="Merriweather" w:hAnsi="Merriweather" w:cs="Merriweather"/>
          <w:b/>
          <w:i/>
          <w:color w:val="000000"/>
        </w:rPr>
        <w:t>2020</w:t>
      </w:r>
      <w:r>
        <w:rPr>
          <w:rFonts w:ascii="Times New Roman" w:eastAsia="Times New Roman" w:hAnsi="Times New Roman" w:cs="Times New Roman"/>
          <w:b/>
          <w:i/>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includes some obligations on the part of the government to provide a grievance redress procedure for concerns raised by citizens, although the details of the process are only partially regulated. The code sets a basis for receiving and reviewing administrative complaints to public entities. It defines content of administrative complaint, the time frame and the procedures. The code also specifies on what grounds the complaint can be turned down (that is, if the case is being considered and/or already has been ruled by a court or a superior administrative body), if a person filing the complaint is not eligible to do it, if the time frame for submitting a complaint is violated, or if the complaint is anonymous. All government entities are included in the state e-document system, which tracks all correspondence to and between government entities. There are important limitations, however, as the e-document system is limited to written letters, whereas a majority of received feedback and complaints tend to be verbal. The system also does not allow for an easy search or analysis of complaints per project. Spurred by the requirements of international financing institutions, some project implementation units set up grievance redress mechanism databases for individual projects, for projects supported by a given donor organization of for all projects they run with foreign assistance to be able to monitor and follow up more easily on grievances related to specific operations.</w:t>
      </w:r>
    </w:p>
    <w:p w14:paraId="0000010E" w14:textId="77777777" w:rsidR="009F1887" w:rsidRDefault="00790D5B">
      <w:pPr>
        <w:keepNext/>
        <w:keepLines/>
        <w:spacing w:before="240" w:after="240"/>
        <w:jc w:val="both"/>
        <w:rPr>
          <w:rFonts w:ascii="Times New Roman" w:eastAsia="Times New Roman" w:hAnsi="Times New Roman" w:cs="Times New Roman"/>
        </w:rPr>
      </w:pPr>
      <w:r>
        <w:rPr>
          <w:rFonts w:ascii="Times New Roman" w:eastAsia="Times New Roman" w:hAnsi="Times New Roman" w:cs="Times New Roman"/>
          <w:b/>
          <w:i/>
        </w:rPr>
        <w:t xml:space="preserve">Ordinance of the Government of Georgia on </w:t>
      </w:r>
      <w:r>
        <w:rPr>
          <w:b/>
          <w:i/>
        </w:rPr>
        <w:t xml:space="preserve">determining </w:t>
      </w:r>
      <w:r>
        <w:rPr>
          <w:rFonts w:ascii="Times New Roman" w:eastAsia="Times New Roman" w:hAnsi="Times New Roman" w:cs="Times New Roman"/>
          <w:b/>
          <w:i/>
        </w:rPr>
        <w:t>of a social package (2012, last amended in 2020)</w:t>
      </w:r>
      <w:r>
        <w:rPr>
          <w:rFonts w:ascii="Times New Roman" w:eastAsia="Times New Roman" w:hAnsi="Times New Roman" w:cs="Times New Roman"/>
        </w:rPr>
        <w:t xml:space="preserve">  – Ordinance defines rules and conditions for issuing the social packages, determines the volumes of cash social packages on the territory of Georgia, the groups of recipients, and the terms and conditions for determining and issuing social assistance, which means regulation of the entire organizational cycle, establishment of the participating governing bodies, and other relations related to the receiving of social assistance packages. The rule defined by the ordinance applies to citizens of Georgia, stateless persons with status in Georgia, as well as to foreign citizens permanently residing legally on the territory of Georgia for the last 10 years at the time of application for the social package.</w:t>
      </w:r>
    </w:p>
    <w:p w14:paraId="0000010F" w14:textId="77777777" w:rsidR="009F1887" w:rsidRDefault="009F1887">
      <w:pPr>
        <w:keepNext/>
        <w:keepLines/>
        <w:pBdr>
          <w:top w:val="nil"/>
          <w:left w:val="nil"/>
          <w:bottom w:val="nil"/>
          <w:right w:val="nil"/>
          <w:between w:val="nil"/>
        </w:pBdr>
        <w:spacing w:after="240"/>
        <w:jc w:val="both"/>
        <w:rPr>
          <w:rFonts w:ascii="Times New Roman" w:eastAsia="Times New Roman" w:hAnsi="Times New Roman" w:cs="Times New Roman"/>
          <w:b/>
          <w:i/>
        </w:rPr>
      </w:pPr>
    </w:p>
    <w:p w14:paraId="00000110"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Order of the Prime Minister of Georgia</w:t>
      </w:r>
      <w:r>
        <w:rPr>
          <w:rFonts w:ascii="Times New Roman" w:eastAsia="Times New Roman" w:hAnsi="Times New Roman" w:cs="Times New Roman"/>
          <w:color w:val="000000"/>
        </w:rPr>
        <w:t xml:space="preserve"> (No. 41, Dated 2014) </w:t>
      </w:r>
      <w:r>
        <w:rPr>
          <w:rFonts w:ascii="Times New Roman" w:eastAsia="Times New Roman" w:hAnsi="Times New Roman" w:cs="Times New Roman"/>
          <w:b/>
          <w:i/>
          <w:color w:val="000000"/>
        </w:rPr>
        <w:t>on Approving Technical Regiment for Space Arrangement and for Architectural and Design Elements for Persons with Disabilities</w:t>
      </w:r>
      <w:r>
        <w:rPr>
          <w:rFonts w:ascii="Times New Roman" w:eastAsia="Times New Roman" w:hAnsi="Times New Roman" w:cs="Times New Roman"/>
          <w:color w:val="000000"/>
        </w:rPr>
        <w:t xml:space="preserve"> rules retrofitting of the existing public buildings for the needs of disabled persons. It also mandated that the design of all new public buildings has to include universal access principles in order to be eligible for a construction permit.</w:t>
      </w:r>
    </w:p>
    <w:p w14:paraId="00000111" w14:textId="77777777" w:rsidR="009F1887" w:rsidRDefault="00790D5B">
      <w:pPr>
        <w:pStyle w:val="Heading2"/>
        <w:numPr>
          <w:ilvl w:val="1"/>
          <w:numId w:val="66"/>
        </w:numPr>
        <w:spacing w:after="240"/>
        <w:ind w:left="360"/>
      </w:pPr>
      <w:bookmarkStart w:id="312" w:name="_heading=h.3rdcrjn" w:colFirst="0" w:colLast="0"/>
      <w:bookmarkEnd w:id="312"/>
      <w:r>
        <w:t>Institutional Framework for Regulating Social Welfare, Property Rights and Labor Safety</w:t>
      </w:r>
    </w:p>
    <w:p w14:paraId="00000112" w14:textId="77777777" w:rsidR="009F1887" w:rsidRDefault="00790D5B">
      <w:pPr>
        <w:keepNext/>
        <w:keepLines/>
        <w:pBdr>
          <w:top w:val="nil"/>
          <w:left w:val="nil"/>
          <w:bottom w:val="nil"/>
          <w:right w:val="nil"/>
          <w:between w:val="nil"/>
        </w:pBdr>
        <w:spacing w:after="160"/>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Ministry of IDPs from the Occupied Territories, Labor, Health and Social Affairs</w:t>
      </w:r>
      <w:r>
        <w:rPr>
          <w:rFonts w:ascii="Times New Roman" w:eastAsia="Times New Roman" w:hAnsi="Times New Roman" w:cs="Times New Roman"/>
          <w:color w:val="000000"/>
        </w:rPr>
        <w:t xml:space="preserve"> develops, implements and coordinates the State policy on labor, healthcare and social protection of the population, as well as relocation and resettlement of IDPs and eco-migrants</w:t>
      </w:r>
      <w:sdt>
        <w:sdtPr>
          <w:tag w:val="goog_rdk_193"/>
          <w:id w:val="297504176"/>
        </w:sdtPr>
        <w:sdtContent>
          <w:commentRangeStart w:id="313"/>
        </w:sdtContent>
      </w:sdt>
      <w:r>
        <w:rPr>
          <w:rFonts w:ascii="Times New Roman" w:eastAsia="Times New Roman" w:hAnsi="Times New Roman" w:cs="Times New Roman"/>
          <w:color w:val="000000"/>
        </w:rPr>
        <w:t>.</w:t>
      </w:r>
      <w:commentRangeEnd w:id="313"/>
      <w:r>
        <w:commentReference w:id="313"/>
      </w:r>
      <w:r>
        <w:rPr>
          <w:rFonts w:ascii="Times New Roman" w:eastAsia="Times New Roman" w:hAnsi="Times New Roman" w:cs="Times New Roman"/>
        </w:rPr>
        <w:t>The functions of the Ministry includes management and administration of the following areas:</w:t>
      </w:r>
    </w:p>
    <w:p w14:paraId="00000113" w14:textId="77777777" w:rsidR="009F1887" w:rsidRDefault="00790D5B">
      <w:pPr>
        <w:keepNext/>
        <w:keepLines/>
        <w:spacing w:before="240" w:after="160"/>
        <w:jc w:val="both"/>
        <w:rPr>
          <w:rFonts w:ascii="Times New Roman" w:eastAsia="Times New Roman" w:hAnsi="Times New Roman" w:cs="Times New Roman"/>
        </w:rPr>
      </w:pPr>
      <w:r>
        <w:rPr>
          <w:rFonts w:ascii="Times New Roman" w:eastAsia="Times New Roman" w:hAnsi="Times New Roman" w:cs="Times New Roman"/>
          <w:u w:val="single"/>
        </w:rPr>
        <w:t>IDPs, eco-migrants and reintegration issues</w:t>
      </w:r>
      <w:r>
        <w:rPr>
          <w:rFonts w:ascii="Times New Roman" w:eastAsia="Times New Roman" w:hAnsi="Times New Roman" w:cs="Times New Roman"/>
        </w:rPr>
        <w:t xml:space="preserve"> – Regulating of IDPs and eco-migrants issues, according to the political, socio-economic and demographic conditions of the country; collecting  data on eco-migration flows caused by emergencies (natural disasters, epidemics, etc.); facilitate the reintegration of Georgian citizens returning from emigration to Georgia;</w:t>
      </w:r>
    </w:p>
    <w:p w14:paraId="00000114" w14:textId="77777777" w:rsidR="009F1887" w:rsidRDefault="00790D5B">
      <w:pPr>
        <w:keepNext/>
        <w:keepLines/>
        <w:spacing w:before="240" w:after="160"/>
        <w:jc w:val="both"/>
        <w:rPr>
          <w:rFonts w:ascii="Times New Roman" w:eastAsia="Times New Roman" w:hAnsi="Times New Roman" w:cs="Times New Roman"/>
        </w:rPr>
      </w:pPr>
      <w:r>
        <w:rPr>
          <w:rFonts w:ascii="Times New Roman" w:eastAsia="Times New Roman" w:hAnsi="Times New Roman" w:cs="Times New Roman"/>
          <w:u w:val="single"/>
        </w:rPr>
        <w:t>Health care</w:t>
      </w:r>
      <w:r>
        <w:rPr>
          <w:rFonts w:ascii="Times New Roman" w:eastAsia="Times New Roman" w:hAnsi="Times New Roman" w:cs="Times New Roman"/>
        </w:rPr>
        <w:t xml:space="preserve"> – providing of individual medical services; ensuring public health protection; regulation of medical and pharmaceutical activities;</w:t>
      </w:r>
    </w:p>
    <w:p w14:paraId="00000115" w14:textId="77777777" w:rsidR="009F1887" w:rsidRDefault="00790D5B">
      <w:pPr>
        <w:keepNext/>
        <w:keepLines/>
        <w:spacing w:before="240" w:after="160"/>
        <w:jc w:val="both"/>
        <w:rPr>
          <w:rFonts w:ascii="Times New Roman" w:eastAsia="Times New Roman" w:hAnsi="Times New Roman" w:cs="Times New Roman"/>
        </w:rPr>
      </w:pPr>
      <w:r>
        <w:rPr>
          <w:rFonts w:ascii="Times New Roman" w:eastAsia="Times New Roman" w:hAnsi="Times New Roman" w:cs="Times New Roman"/>
          <w:u w:val="single"/>
        </w:rPr>
        <w:t>Social protection of the population</w:t>
      </w:r>
      <w:r>
        <w:rPr>
          <w:rFonts w:ascii="Times New Roman" w:eastAsia="Times New Roman" w:hAnsi="Times New Roman" w:cs="Times New Roman"/>
        </w:rPr>
        <w:t xml:space="preserve"> - providing the population with targeted social assistance (TSA) to http://www.matsne.gov.ge 01024003010003020789, on time delivery of relevant benefits to the social groups defined by law; child care and issues related to it, facilitating the development and implementation of policies to fight against domestic violence and protect victims of domestic violence;</w:t>
      </w:r>
    </w:p>
    <w:p w14:paraId="00000116" w14:textId="77777777" w:rsidR="009F1887" w:rsidRDefault="00790D5B">
      <w:pPr>
        <w:keepNext/>
        <w:keepLines/>
        <w:spacing w:before="240" w:after="160"/>
        <w:jc w:val="both"/>
        <w:rPr>
          <w:rFonts w:ascii="Times New Roman" w:eastAsia="Times New Roman" w:hAnsi="Times New Roman" w:cs="Times New Roman"/>
        </w:rPr>
      </w:pPr>
      <w:r>
        <w:rPr>
          <w:rFonts w:ascii="Times New Roman" w:eastAsia="Times New Roman" w:hAnsi="Times New Roman" w:cs="Times New Roman"/>
          <w:u w:val="single"/>
        </w:rPr>
        <w:t>Labor and employment issues</w:t>
      </w:r>
      <w:r>
        <w:rPr>
          <w:rFonts w:ascii="Times New Roman" w:eastAsia="Times New Roman" w:hAnsi="Times New Roman" w:cs="Times New Roman"/>
        </w:rPr>
        <w:t xml:space="preserve"> - promoting labor relations and social partnerships; regulation of labor migration and employment promotion, including coordination for recruiting in alternative, non-military labor services; facilitating  the development of labor safety and protection mechanisms in organizations and institutions and elimination of labor discrimination cases; state supervision how labor safety norms on high-risk, heavy, harmful and dangerous works defined by the Law of Georgia on Labor Safety are adhered to and other functions  as established by the same law.</w:t>
      </w:r>
    </w:p>
    <w:p w14:paraId="00000117" w14:textId="77777777" w:rsidR="009F1887" w:rsidRDefault="00790D5B">
      <w:pPr>
        <w:keepNext/>
        <w:keepLines/>
        <w:pBdr>
          <w:top w:val="nil"/>
          <w:left w:val="nil"/>
          <w:bottom w:val="nil"/>
          <w:right w:val="nil"/>
          <w:between w:val="nil"/>
        </w:pBdr>
        <w:spacing w:before="240" w:after="160"/>
        <w:jc w:val="both"/>
        <w:rPr>
          <w:rFonts w:ascii="Times New Roman" w:eastAsia="Times New Roman" w:hAnsi="Times New Roman" w:cs="Times New Roman"/>
        </w:rPr>
      </w:pPr>
      <w:r>
        <w:rPr>
          <w:rFonts w:ascii="Times New Roman" w:eastAsia="Times New Roman" w:hAnsi="Times New Roman" w:cs="Times New Roman"/>
          <w:u w:val="single"/>
        </w:rPr>
        <w:t>Integration of persons under international protection, aliens legally residing in Georgia and Stateless persons having status for living in Georgia</w:t>
      </w:r>
      <w:r>
        <w:rPr>
          <w:rFonts w:ascii="Times New Roman" w:eastAsia="Times New Roman" w:hAnsi="Times New Roman" w:cs="Times New Roman"/>
        </w:rPr>
        <w:t>- Development and implementation relevant programs for  local integration of internationally protected persons, aliens legally residing in Georgia and stateless persons having status for living in Georgia, and perform this function, cooperation with relevant competent governmental entities.</w:t>
      </w:r>
    </w:p>
    <w:p w14:paraId="00000118" w14:textId="77777777" w:rsidR="009F1887" w:rsidRDefault="00790D5B">
      <w:pPr>
        <w:keepNext/>
        <w:keepLines/>
        <w:pBdr>
          <w:top w:val="nil"/>
          <w:left w:val="nil"/>
          <w:bottom w:val="nil"/>
          <w:right w:val="nil"/>
          <w:between w:val="nil"/>
        </w:pBdr>
        <w:spacing w:before="240" w:after="160"/>
        <w:jc w:val="both"/>
        <w:rPr>
          <w:rFonts w:ascii="Times New Roman" w:eastAsia="Times New Roman" w:hAnsi="Times New Roman" w:cs="Times New Roman"/>
        </w:rPr>
      </w:pPr>
      <w:r>
        <w:rPr>
          <w:rFonts w:ascii="Times New Roman" w:eastAsia="Times New Roman" w:hAnsi="Times New Roman" w:cs="Times New Roman"/>
        </w:rPr>
        <w:t>MoILHSA will be responsible for the overall administration, fiduciary functions, environmental and social aspects, communication and outreach for both components 1 and 2.</w:t>
      </w:r>
    </w:p>
    <w:p w14:paraId="00000119" w14:textId="77777777" w:rsidR="009F1887" w:rsidRDefault="00790D5B">
      <w:pPr>
        <w:keepNext/>
        <w:keepLines/>
        <w:pBdr>
          <w:top w:val="nil"/>
          <w:left w:val="nil"/>
          <w:bottom w:val="nil"/>
          <w:right w:val="nil"/>
          <w:between w:val="nil"/>
        </w:pBdr>
        <w:spacing w:after="1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Labor Conditions Inspection Department of MoILHSA </w:t>
      </w:r>
      <w:r>
        <w:rPr>
          <w:rFonts w:ascii="Times New Roman" w:eastAsia="Times New Roman" w:hAnsi="Times New Roman" w:cs="Times New Roman"/>
          <w:color w:val="000000"/>
        </w:rPr>
        <w:t>controls and checks compliance with occupational safety and health in the workplace; Prevention of forced labor and exploitation; Investigation and recording work related accidents and occupational illness cases at workplaces. The Labor Inspectorate’s current mandate covers the compliance with regulations on health and safety at workplaces. It is not mandated to check labor code compliance as yet, until and unless draft changes to labor code are adopted as well as draft law on labor inspectorate which grants them to supervise labor conditions is enacted. As a result of changes to OHS law in February 2019, the Labor inspectorate is now mandated to make unannounced visits at workplaces at any time of the day or night, without a court order and prior notice to investigate, examine and check the workplaces to ensure effective and continuous compliance with work safety regulations. The employers are required to inform the labor inspectorate of any accidents at their workplaces within 24 hours according to OHS law, however anyone could inform the labor inspectorate of the accident.</w:t>
      </w:r>
    </w:p>
    <w:p w14:paraId="0000011A" w14:textId="77777777" w:rsidR="009F1887" w:rsidRDefault="00790D5B">
      <w:pPr>
        <w:tabs>
          <w:tab w:val="right" w:pos="360"/>
        </w:tabs>
        <w:spacing w:after="160"/>
        <w:jc w:val="both"/>
        <w:rPr>
          <w:rFonts w:ascii="Times New Roman" w:eastAsia="Times New Roman" w:hAnsi="Times New Roman" w:cs="Times New Roman"/>
        </w:rPr>
      </w:pPr>
      <w:r>
        <w:rPr>
          <w:rFonts w:ascii="Times New Roman" w:eastAsia="Times New Roman" w:hAnsi="Times New Roman" w:cs="Times New Roman"/>
        </w:rPr>
        <w:lastRenderedPageBreak/>
        <w:t>Social Service Agency (SSA) is a legal entity of public law under the MoILHSA administering the state social protection and health programs, including delivery of state pensions, social assistance, and the Universal Healthcare Program.</w:t>
      </w:r>
    </w:p>
    <w:p w14:paraId="0000011B" w14:textId="77777777" w:rsidR="009F1887" w:rsidRDefault="00EC15FD">
      <w:pPr>
        <w:tabs>
          <w:tab w:val="right" w:pos="360"/>
        </w:tabs>
        <w:spacing w:after="160"/>
        <w:jc w:val="both"/>
        <w:rPr>
          <w:rFonts w:ascii="Times New Roman" w:eastAsia="Times New Roman" w:hAnsi="Times New Roman" w:cs="Times New Roman"/>
        </w:rPr>
      </w:pPr>
      <w:sdt>
        <w:sdtPr>
          <w:tag w:val="goog_rdk_194"/>
          <w:id w:val="1062835998"/>
        </w:sdtPr>
        <w:sdtContent>
          <w:commentRangeStart w:id="314"/>
        </w:sdtContent>
      </w:sdt>
      <w:r w:rsidR="00790D5B">
        <w:rPr>
          <w:rFonts w:ascii="Times New Roman" w:eastAsia="Times New Roman" w:hAnsi="Times New Roman" w:cs="Times New Roman"/>
          <w:b/>
        </w:rPr>
        <w:t>State Employment Support Agency</w:t>
      </w:r>
      <w:r w:rsidR="00790D5B">
        <w:rPr>
          <w:rFonts w:ascii="Times New Roman" w:eastAsia="Times New Roman" w:hAnsi="Times New Roman" w:cs="Times New Roman"/>
          <w:color w:val="000000"/>
        </w:rPr>
        <w:t xml:space="preserve"> (</w:t>
      </w:r>
      <w:r w:rsidR="00790D5B">
        <w:rPr>
          <w:rFonts w:ascii="Times New Roman" w:eastAsia="Times New Roman" w:hAnsi="Times New Roman" w:cs="Times New Roman"/>
          <w:b/>
        </w:rPr>
        <w:t>SESA)</w:t>
      </w:r>
      <w:r w:rsidR="00790D5B">
        <w:rPr>
          <w:rFonts w:ascii="Times New Roman" w:eastAsia="Times New Roman" w:hAnsi="Times New Roman" w:cs="Times New Roman"/>
        </w:rPr>
        <w:t xml:space="preserve"> is a legal entity of public law under the MoILHSA</w:t>
      </w:r>
      <w:sdt>
        <w:sdtPr>
          <w:tag w:val="goog_rdk_195"/>
          <w:id w:val="-1128858844"/>
        </w:sdtPr>
        <w:sdtContent>
          <w:commentRangeStart w:id="315"/>
        </w:sdtContent>
      </w:sdt>
      <w:r w:rsidR="00790D5B">
        <w:rPr>
          <w:rFonts w:ascii="Times New Roman" w:eastAsia="Times New Roman" w:hAnsi="Times New Roman" w:cs="Times New Roman"/>
        </w:rPr>
        <w:t>.</w:t>
      </w:r>
      <w:commentRangeEnd w:id="315"/>
      <w:r w:rsidR="00790D5B">
        <w:commentReference w:id="315"/>
      </w:r>
      <w:r w:rsidR="00790D5B">
        <w:rPr>
          <w:rFonts w:ascii="Times New Roman" w:eastAsia="Times New Roman" w:hAnsi="Times New Roman" w:cs="Times New Roman"/>
        </w:rPr>
        <w:t xml:space="preserve"> </w:t>
      </w:r>
      <w:commentRangeEnd w:id="314"/>
      <w:r w:rsidR="00790D5B">
        <w:commentReference w:id="314"/>
      </w:r>
      <w:r w:rsidR="00790D5B">
        <w:rPr>
          <w:rFonts w:ascii="Times New Roman" w:eastAsia="Times New Roman" w:hAnsi="Times New Roman" w:cs="Times New Roman"/>
        </w:rPr>
        <w:t>The main goal of the agency is promotion of labor and employment conditions  in Georgian  . Its functions include  providing of services for labor market in Georgia, such as  development and implementation of measures to ensure active labor market policy in Georgia ; Registration of job seekers and free (vacant) jobs, provision intermediary services through administration and proper functioning of the labor market management information system, and Collection and analysis of statistical information on the workforce.  Agency also</w:t>
      </w:r>
      <w:r w:rsidR="00790D5B">
        <w:t xml:space="preserve"> plays an important role in i</w:t>
      </w:r>
      <w:r w:rsidR="00790D5B">
        <w:rPr>
          <w:rFonts w:ascii="Times New Roman" w:eastAsia="Times New Roman" w:hAnsi="Times New Roman" w:cs="Times New Roman"/>
        </w:rPr>
        <w:t>mplementation of agreed interstate cooperation mechanisms, within its competency, to develop a temporary, legal employment opportunities (circular labor migration) of Georgian citizens residing abroad. SESA will play an important role in project implementation due to providing services for issuing temporary unemployment benefits for formal and informal workers who losts their job as a result of Covid19  pandemic. For this SESA has developed an online registration platform where eligible citizens are able to register and provide personal information. The eligibility determination and verification processes will be carried out by SESA based on revenue service information. Benefits will be transferred by SESA to the bank accounts of the beneficiaries provided by them personally (while registering).</w:t>
      </w:r>
    </w:p>
    <w:p w14:paraId="0000011C" w14:textId="77777777" w:rsidR="009F1887" w:rsidRDefault="00790D5B">
      <w:pPr>
        <w:tabs>
          <w:tab w:val="right" w:pos="360"/>
        </w:tabs>
        <w:spacing w:after="160"/>
        <w:jc w:val="both"/>
        <w:rPr>
          <w:rFonts w:ascii="Times New Roman" w:eastAsia="Times New Roman" w:hAnsi="Times New Roman" w:cs="Times New Roman"/>
        </w:rPr>
      </w:pPr>
      <w:r>
        <w:rPr>
          <w:rFonts w:ascii="Times New Roman" w:eastAsia="Times New Roman" w:hAnsi="Times New Roman" w:cs="Times New Roman"/>
          <w:b/>
        </w:rPr>
        <w:t>National Center for Disease Control and Public Health (NCDC)</w:t>
      </w:r>
      <w:r>
        <w:rPr>
          <w:rFonts w:ascii="Times New Roman" w:eastAsia="Times New Roman" w:hAnsi="Times New Roman" w:cs="Times New Roman"/>
        </w:rPr>
        <w:t xml:space="preserve">  is responsible for the public health, including monitoring of epidemiological situation in the country, immunization, surveillance, disease prevention and timely response to public health emergencies, health promotion, information support, prevention of environmental hazards and behavioral risk-factors, applied and fundamental bio-medical scientific research in public health and coordination of public health lab services based on the “One Health” principle. A bio safety level (BSL) 3 laboratory and research center - Richard Lugar Center for Public Health Research fall under the NCDC.  </w:t>
      </w:r>
    </w:p>
    <w:p w14:paraId="0000011D" w14:textId="77777777" w:rsidR="009F1887" w:rsidRDefault="009F188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11E" w14:textId="77777777" w:rsidR="009F1887" w:rsidRDefault="00790D5B">
      <w:pPr>
        <w:pStyle w:val="Heading2"/>
        <w:numPr>
          <w:ilvl w:val="1"/>
          <w:numId w:val="66"/>
        </w:numPr>
        <w:spacing w:after="240"/>
        <w:ind w:left="360"/>
      </w:pPr>
      <w:r>
        <w:lastRenderedPageBreak/>
        <w:t>International Conventions Ratified by Georgia</w:t>
      </w:r>
    </w:p>
    <w:p w14:paraId="0000011F"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Georgia has signed and ratified many global and regional environmental conventions, multi-lateral agreements, protocols and treaties that stipulate the country’s obligations to </w:t>
      </w:r>
      <w:sdt>
        <w:sdtPr>
          <w:tag w:val="goog_rdk_196"/>
          <w:id w:val="792321013"/>
        </w:sdtPr>
        <w:sdtContent>
          <w:ins w:id="316" w:author="Giorgi Kobaladze" w:date="2020-07-17T06:56:00Z">
            <w:r>
              <w:rPr>
                <w:rFonts w:ascii="Times New Roman" w:eastAsia="Times New Roman" w:hAnsi="Times New Roman" w:cs="Times New Roman"/>
                <w:color w:val="000000"/>
              </w:rPr>
              <w:t>monitor, assess</w:t>
            </w:r>
          </w:ins>
        </w:sdtContent>
      </w:sdt>
      <w:sdt>
        <w:sdtPr>
          <w:tag w:val="goog_rdk_197"/>
          <w:id w:val="-1304625397"/>
        </w:sdtPr>
        <w:sdtContent>
          <w:del w:id="317" w:author="Giorgi Kobaladze" w:date="2020-07-17T06:56:00Z">
            <w:r>
              <w:rPr>
                <w:rFonts w:ascii="Times New Roman" w:eastAsia="Times New Roman" w:hAnsi="Times New Roman" w:cs="Times New Roman"/>
                <w:color w:val="000000"/>
              </w:rPr>
              <w:delText>monitor assess</w:delText>
            </w:r>
          </w:del>
        </w:sdtContent>
      </w:sdt>
      <w:r>
        <w:rPr>
          <w:rFonts w:ascii="Times New Roman" w:eastAsia="Times New Roman" w:hAnsi="Times New Roman" w:cs="Times New Roman"/>
          <w:color w:val="000000"/>
        </w:rPr>
        <w:t xml:space="preserve"> and report on environmental </w:t>
      </w:r>
      <w:sdt>
        <w:sdtPr>
          <w:tag w:val="goog_rdk_198"/>
          <w:id w:val="-1282648453"/>
        </w:sdtPr>
        <w:sdtContent>
          <w:ins w:id="318" w:author="Giorgi Kobaladze" w:date="2020-07-17T06:56:00Z">
            <w:r>
              <w:rPr>
                <w:rFonts w:ascii="Times New Roman" w:eastAsia="Times New Roman" w:hAnsi="Times New Roman" w:cs="Times New Roman"/>
                <w:color w:val="000000"/>
              </w:rPr>
              <w:t>situations</w:t>
            </w:r>
          </w:ins>
        </w:sdtContent>
      </w:sdt>
      <w:sdt>
        <w:sdtPr>
          <w:tag w:val="goog_rdk_199"/>
          <w:id w:val="259348612"/>
        </w:sdtPr>
        <w:sdtContent>
          <w:del w:id="319" w:author="Giorgi Kobaladze" w:date="2020-07-17T06:56:00Z">
            <w:r>
              <w:rPr>
                <w:rFonts w:ascii="Times New Roman" w:eastAsia="Times New Roman" w:hAnsi="Times New Roman" w:cs="Times New Roman"/>
                <w:color w:val="000000"/>
              </w:rPr>
              <w:delText>situation</w:delText>
            </w:r>
          </w:del>
        </w:sdtContent>
      </w:sdt>
      <w:r>
        <w:rPr>
          <w:rFonts w:ascii="Times New Roman" w:eastAsia="Times New Roman" w:hAnsi="Times New Roman" w:cs="Times New Roman"/>
          <w:color w:val="000000"/>
        </w:rPr>
        <w:t xml:space="preserve"> in Georgia related to water resources management, atmospheric air pollution and waste management. Some of them listed below are relevant to Emergency COVID-19 Response Project:</w:t>
      </w:r>
    </w:p>
    <w:p w14:paraId="00000120" w14:textId="77777777" w:rsidR="009F1887" w:rsidRDefault="00790D5B">
      <w:pPr>
        <w:keepNext/>
        <w:keepLines/>
        <w:numPr>
          <w:ilvl w:val="0"/>
          <w:numId w:val="22"/>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b/>
          <w:i/>
          <w:color w:val="000000"/>
        </w:rPr>
        <w:t>Basel Convention on the Control of Transboundary Movements of Hazardous Wastes and Their Disposal (</w:t>
      </w:r>
      <w:r>
        <w:rPr>
          <w:b/>
          <w:i/>
          <w:highlight w:val="yellow"/>
        </w:rPr>
        <w:t>(</w:t>
      </w:r>
      <w:sdt>
        <w:sdtPr>
          <w:tag w:val="goog_rdk_200"/>
          <w:id w:val="632839699"/>
        </w:sdtPr>
        <w:sdtContent>
          <w:ins w:id="320" w:author="Giorgi Kobaladze" w:date="2020-07-17T06:36:00Z">
            <w:r>
              <w:rPr>
                <w:b/>
                <w:i/>
                <w:highlight w:val="yellow"/>
              </w:rPr>
              <w:t>Ratified in May, 1999</w:t>
            </w:r>
          </w:ins>
        </w:sdtContent>
      </w:sdt>
      <w:sdt>
        <w:sdtPr>
          <w:tag w:val="goog_rdk_201"/>
          <w:id w:val="1375356832"/>
        </w:sdtPr>
        <w:sdtContent>
          <w:del w:id="321" w:author="Giorgi Kobaladze" w:date="2020-07-17T06:36:00Z">
            <w:r>
              <w:rPr>
                <w:b/>
                <w:i/>
                <w:highlight w:val="yellow"/>
              </w:rPr>
              <w:delText>ratified in</w:delText>
            </w:r>
            <w:r>
              <w:rPr>
                <w:rFonts w:ascii="Times New Roman" w:eastAsia="Times New Roman" w:hAnsi="Times New Roman" w:cs="Times New Roman"/>
                <w:b/>
                <w:i/>
                <w:color w:val="000000"/>
              </w:rPr>
              <w:delText xml:space="preserve"> 1999</w:delText>
            </w:r>
          </w:del>
        </w:sdtContent>
      </w:sdt>
      <w:r>
        <w:rPr>
          <w:rFonts w:ascii="Times New Roman" w:eastAsia="Times New Roman" w:hAnsi="Times New Roman" w:cs="Times New Roman"/>
          <w:b/>
          <w:i/>
          <w:color w:val="000000"/>
        </w:rPr>
        <w:t>)</w:t>
      </w:r>
      <w:r>
        <w:rPr>
          <w:rFonts w:ascii="Times New Roman" w:eastAsia="Times New Roman" w:hAnsi="Times New Roman" w:cs="Times New Roman"/>
          <w:color w:val="000000"/>
        </w:rPr>
        <w:t xml:space="preserve"> - an international </w:t>
      </w:r>
      <w:hyperlink r:id="rId16">
        <w:r>
          <w:rPr>
            <w:rFonts w:ascii="Times New Roman" w:eastAsia="Times New Roman" w:hAnsi="Times New Roman" w:cs="Times New Roman"/>
            <w:color w:val="000000"/>
          </w:rPr>
          <w:t>treaty</w:t>
        </w:r>
      </w:hyperlink>
      <w:r>
        <w:rPr>
          <w:rFonts w:ascii="Times New Roman" w:eastAsia="Times New Roman" w:hAnsi="Times New Roman" w:cs="Times New Roman"/>
          <w:color w:val="000000"/>
        </w:rPr>
        <w:t> that was designed to reduce the movements of </w:t>
      </w:r>
      <w:hyperlink r:id="rId17">
        <w:r>
          <w:rPr>
            <w:rFonts w:ascii="Times New Roman" w:eastAsia="Times New Roman" w:hAnsi="Times New Roman" w:cs="Times New Roman"/>
            <w:color w:val="000000"/>
          </w:rPr>
          <w:t>hazardous waste</w:t>
        </w:r>
      </w:hyperlink>
      <w:r>
        <w:rPr>
          <w:rFonts w:ascii="Times New Roman" w:eastAsia="Times New Roman" w:hAnsi="Times New Roman" w:cs="Times New Roman"/>
          <w:color w:val="000000"/>
        </w:rPr>
        <w:t> between nations, and specifically to prevent transfer of hazardous waste from </w:t>
      </w:r>
      <w:hyperlink r:id="rId18">
        <w:r>
          <w:rPr>
            <w:rFonts w:ascii="Times New Roman" w:eastAsia="Times New Roman" w:hAnsi="Times New Roman" w:cs="Times New Roman"/>
            <w:color w:val="000000"/>
          </w:rPr>
          <w:t>developed</w:t>
        </w:r>
      </w:hyperlink>
      <w:r>
        <w:rPr>
          <w:rFonts w:ascii="Times New Roman" w:eastAsia="Times New Roman" w:hAnsi="Times New Roman" w:cs="Times New Roman"/>
          <w:color w:val="000000"/>
        </w:rPr>
        <w:t> to </w:t>
      </w:r>
      <w:hyperlink r:id="rId19">
        <w:r>
          <w:rPr>
            <w:rFonts w:ascii="Times New Roman" w:eastAsia="Times New Roman" w:hAnsi="Times New Roman" w:cs="Times New Roman"/>
            <w:color w:val="000000"/>
          </w:rPr>
          <w:t>less developed countries</w:t>
        </w:r>
      </w:hyperlink>
      <w:r>
        <w:rPr>
          <w:rFonts w:ascii="Times New Roman" w:eastAsia="Times New Roman" w:hAnsi="Times New Roman" w:cs="Times New Roman"/>
          <w:color w:val="000000"/>
        </w:rPr>
        <w:t>. The Convention is also intended to minimize the amount and </w:t>
      </w:r>
      <w:hyperlink r:id="rId20">
        <w:r>
          <w:rPr>
            <w:rFonts w:ascii="Times New Roman" w:eastAsia="Times New Roman" w:hAnsi="Times New Roman" w:cs="Times New Roman"/>
            <w:color w:val="000000"/>
          </w:rPr>
          <w:t>toxicity</w:t>
        </w:r>
      </w:hyperlink>
      <w:r>
        <w:rPr>
          <w:rFonts w:ascii="Times New Roman" w:eastAsia="Times New Roman" w:hAnsi="Times New Roman" w:cs="Times New Roman"/>
          <w:color w:val="000000"/>
        </w:rPr>
        <w:t xml:space="preserve"> of wastes generated, to ensure their environmentally sound management as closely as possible to the source of generation, and to assist less developed countries in environmentally sound management of the hazardous and other wastes they generate. </w:t>
      </w:r>
    </w:p>
    <w:p w14:paraId="00000121" w14:textId="77777777" w:rsidR="009F1887" w:rsidRDefault="00790D5B">
      <w:pPr>
        <w:keepNext/>
        <w:keepLines/>
        <w:numPr>
          <w:ilvl w:val="0"/>
          <w:numId w:val="22"/>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b/>
          <w:i/>
          <w:color w:val="000000"/>
        </w:rPr>
        <w:t>Cartagena Protocol on Biosafety (</w:t>
      </w:r>
      <w:sdt>
        <w:sdtPr>
          <w:tag w:val="goog_rdk_202"/>
          <w:id w:val="378289264"/>
        </w:sdtPr>
        <w:sdtContent>
          <w:r>
            <w:rPr>
              <w:b/>
              <w:i/>
              <w:shd w:val="clear" w:color="auto" w:fill="FEFEFE"/>
              <w:rPrChange w:id="322" w:author="Giorgi Kobaladze" w:date="2020-07-17T06:39:00Z">
                <w:rPr>
                  <w:b/>
                  <w:i/>
                  <w:highlight w:val="yellow"/>
                </w:rPr>
              </w:rPrChange>
            </w:rPr>
            <w:t>(</w:t>
          </w:r>
        </w:sdtContent>
      </w:sdt>
      <w:sdt>
        <w:sdtPr>
          <w:tag w:val="goog_rdk_203"/>
          <w:id w:val="185958228"/>
        </w:sdtPr>
        <w:sdtContent>
          <w:sdt>
            <w:sdtPr>
              <w:tag w:val="goog_rdk_204"/>
              <w:id w:val="-404843247"/>
            </w:sdtPr>
            <w:sdtContent>
              <w:ins w:id="323" w:author="Giorgi Kobaladze" w:date="2020-07-17T06:37:00Z">
                <w:r>
                  <w:rPr>
                    <w:b/>
                    <w:i/>
                    <w:shd w:val="clear" w:color="auto" w:fill="FEFEFE"/>
                    <w:rPrChange w:id="324" w:author="Giorgi Kobaladze" w:date="2020-07-17T06:39:00Z">
                      <w:rPr>
                        <w:b/>
                        <w:i/>
                        <w:highlight w:val="yellow"/>
                      </w:rPr>
                    </w:rPrChange>
                  </w:rPr>
                  <w:t>Ratified in November, 2008</w:t>
                </w:r>
              </w:ins>
            </w:sdtContent>
          </w:sdt>
        </w:sdtContent>
      </w:sdt>
      <w:sdt>
        <w:sdtPr>
          <w:tag w:val="goog_rdk_205"/>
          <w:id w:val="-1182667031"/>
        </w:sdtPr>
        <w:sdtContent>
          <w:sdt>
            <w:sdtPr>
              <w:tag w:val="goog_rdk_206"/>
              <w:id w:val="488918402"/>
            </w:sdtPr>
            <w:sdtContent>
              <w:del w:id="325" w:author="Giorgi Kobaladze" w:date="2020-07-17T06:37:00Z">
                <w:r>
                  <w:rPr>
                    <w:b/>
                    <w:i/>
                    <w:shd w:val="clear" w:color="auto" w:fill="FEFEFE"/>
                    <w:rPrChange w:id="326" w:author="Giorgi Kobaladze" w:date="2020-07-17T06:39:00Z">
                      <w:rPr>
                        <w:b/>
                        <w:i/>
                        <w:highlight w:val="yellow"/>
                      </w:rPr>
                    </w:rPrChange>
                  </w:rPr>
                  <w:delText>ratified in</w:delText>
                </w:r>
              </w:del>
            </w:sdtContent>
          </w:sdt>
          <w:customXmlDelRangeStart w:id="327" w:author="Giorgi Kobaladze" w:date="2020-07-17T06:37:00Z"/>
          <w:sdt>
            <w:sdtPr>
              <w:tag w:val="goog_rdk_207"/>
              <w:id w:val="-1040354823"/>
            </w:sdtPr>
            <w:sdtContent>
              <w:customXmlDelRangeEnd w:id="327"/>
              <w:del w:id="328" w:author="Giorgi Kobaladze" w:date="2020-07-17T06:37:00Z">
                <w:r>
                  <w:rPr>
                    <w:rFonts w:ascii="Times New Roman" w:eastAsia="Times New Roman" w:hAnsi="Times New Roman" w:cs="Times New Roman"/>
                    <w:b/>
                    <w:i/>
                    <w:color w:val="000000"/>
                    <w:shd w:val="clear" w:color="auto" w:fill="FEFEFE"/>
                    <w:rPrChange w:id="329" w:author="Giorgi Kobaladze" w:date="2020-07-17T06:39:00Z">
                      <w:rPr>
                        <w:rFonts w:ascii="Times New Roman" w:eastAsia="Times New Roman" w:hAnsi="Times New Roman" w:cs="Times New Roman"/>
                        <w:b/>
                        <w:i/>
                        <w:color w:val="000000"/>
                      </w:rPr>
                    </w:rPrChange>
                  </w:rPr>
                  <w:delText xml:space="preserve"> 2008</w:delText>
                </w:r>
              </w:del>
              <w:customXmlDelRangeStart w:id="330" w:author="Giorgi Kobaladze" w:date="2020-07-17T06:37:00Z"/>
            </w:sdtContent>
          </w:sdt>
          <w:customXmlDelRangeEnd w:id="330"/>
        </w:sdtContent>
      </w:sdt>
      <w:sdt>
        <w:sdtPr>
          <w:tag w:val="goog_rdk_208"/>
          <w:id w:val="-610670825"/>
        </w:sdtPr>
        <w:sdtContent>
          <w:r>
            <w:rPr>
              <w:rFonts w:ascii="Times New Roman" w:eastAsia="Times New Roman" w:hAnsi="Times New Roman" w:cs="Times New Roman"/>
              <w:b/>
              <w:color w:val="000000"/>
              <w:shd w:val="clear" w:color="auto" w:fill="FEFEFE"/>
              <w:rPrChange w:id="331" w:author="Giorgi Kobaladze" w:date="2020-07-17T06:39:00Z">
                <w:rPr>
                  <w:rFonts w:ascii="Times New Roman" w:eastAsia="Times New Roman" w:hAnsi="Times New Roman" w:cs="Times New Roman"/>
                  <w:b/>
                  <w:color w:val="000000"/>
                </w:rPr>
              </w:rPrChange>
            </w:rPr>
            <w:t xml:space="preserve">) - </w:t>
          </w:r>
        </w:sdtContent>
      </w:sdt>
      <w:sdt>
        <w:sdtPr>
          <w:tag w:val="goog_rdk_209"/>
          <w:id w:val="-1193604738"/>
        </w:sdtPr>
        <w:sdtContent>
          <w:r>
            <w:rPr>
              <w:rFonts w:ascii="Times New Roman" w:eastAsia="Times New Roman" w:hAnsi="Times New Roman" w:cs="Times New Roman"/>
              <w:color w:val="000000"/>
              <w:shd w:val="clear" w:color="auto" w:fill="FEFEFE"/>
              <w:rPrChange w:id="332" w:author="Giorgi Kobaladze" w:date="2020-07-17T06:39:00Z">
                <w:rPr>
                  <w:rFonts w:ascii="Times New Roman" w:eastAsia="Times New Roman" w:hAnsi="Times New Roman" w:cs="Times New Roman"/>
                  <w:color w:val="000000"/>
                </w:rPr>
              </w:rPrChange>
            </w:rPr>
            <w:t>a Protocol to the Convention on Biological Diversity is an international agreement which aims to ensure the safe handling, transportation and use of living modified organisms (LMOs) resulting from modern biotechnology that may have adverse effects on biological diversity, taking also into account risks to human health. </w:t>
          </w:r>
        </w:sdtContent>
      </w:sdt>
    </w:p>
    <w:sdt>
      <w:sdtPr>
        <w:tag w:val="goog_rdk_228"/>
        <w:id w:val="596913040"/>
      </w:sdtPr>
      <w:sdtContent>
        <w:p w14:paraId="00000122" w14:textId="77777777" w:rsidR="009F1887" w:rsidRPr="009F1887" w:rsidRDefault="00EC15FD">
          <w:pPr>
            <w:keepNext/>
            <w:keepLines/>
            <w:numPr>
              <w:ilvl w:val="0"/>
              <w:numId w:val="22"/>
            </w:numPr>
            <w:pBdr>
              <w:top w:val="nil"/>
              <w:left w:val="nil"/>
              <w:bottom w:val="nil"/>
              <w:right w:val="nil"/>
              <w:between w:val="nil"/>
            </w:pBdr>
            <w:spacing w:after="240"/>
            <w:ind w:left="720"/>
            <w:jc w:val="both"/>
            <w:rPr>
              <w:rFonts w:ascii="Times New Roman" w:eastAsia="Times New Roman" w:hAnsi="Times New Roman" w:cs="Times New Roman"/>
              <w:rPrChange w:id="333" w:author="Giorgi Kobaladze" w:date="2020-07-17T06:38:00Z">
                <w:rPr>
                  <w:rFonts w:ascii="Times New Roman" w:eastAsia="Times New Roman" w:hAnsi="Times New Roman" w:cs="Times New Roman"/>
                  <w:color w:val="000000"/>
                </w:rPr>
              </w:rPrChange>
            </w:rPr>
          </w:pPr>
          <w:sdt>
            <w:sdtPr>
              <w:tag w:val="goog_rdk_211"/>
              <w:id w:val="528771415"/>
            </w:sdtPr>
            <w:sdtContent>
              <w:sdt>
                <w:sdtPr>
                  <w:tag w:val="goog_rdk_212"/>
                  <w:id w:val="1664432996"/>
                </w:sdtPr>
                <w:sdtContent>
                  <w:ins w:id="334" w:author="Giorgi Kobaladze" w:date="2020-07-17T06:38:00Z">
                    <w:r w:rsidR="00790D5B">
                      <w:rPr>
                        <w:rFonts w:ascii="Times New Roman" w:eastAsia="Times New Roman" w:hAnsi="Times New Roman" w:cs="Times New Roman"/>
                        <w:color w:val="000000"/>
                        <w:shd w:val="clear" w:color="auto" w:fill="FEFEFE"/>
                        <w:rPrChange w:id="335" w:author="Giorgi Kobaladze" w:date="2020-07-17T06:39:00Z">
                          <w:rPr>
                            <w:rFonts w:ascii="Times New Roman" w:eastAsia="Times New Roman" w:hAnsi="Times New Roman" w:cs="Times New Roman"/>
                            <w:color w:val="000000"/>
                          </w:rPr>
                        </w:rPrChange>
                      </w:rPr>
                      <w:t>The UNECE Convention on Access to Information, Public Participation in Decision-making and Access to Justice in Environmental Matters, usually known as</w:t>
                    </w:r>
                  </w:ins>
                </w:sdtContent>
              </w:sdt>
              <w:customXmlInsRangeStart w:id="336" w:author="Giorgi Kobaladze" w:date="2020-07-17T06:38:00Z"/>
              <w:sdt>
                <w:sdtPr>
                  <w:tag w:val="goog_rdk_213"/>
                  <w:id w:val="-1051912856"/>
                </w:sdtPr>
                <w:sdtContent>
                  <w:customXmlInsRangeEnd w:id="336"/>
                  <w:ins w:id="337" w:author="Giorgi Kobaladze" w:date="2020-07-17T06:38:00Z">
                    <w:r w:rsidR="00790D5B">
                      <w:rPr>
                        <w:rFonts w:ascii="Times New Roman" w:eastAsia="Times New Roman" w:hAnsi="Times New Roman" w:cs="Times New Roman"/>
                        <w:color w:val="000000"/>
                        <w:shd w:val="clear" w:color="auto" w:fill="FEFEFE"/>
                        <w:rPrChange w:id="338" w:author="Giorgi Kobaladze" w:date="2020-07-17T06:39:00Z">
                          <w:rPr>
                            <w:rFonts w:ascii="Times New Roman" w:eastAsia="Times New Roman" w:hAnsi="Times New Roman" w:cs="Times New Roman"/>
                            <w:color w:val="000000"/>
                          </w:rPr>
                        </w:rPrChange>
                      </w:rPr>
                      <w:t xml:space="preserve"> </w:t>
                    </w:r>
                  </w:ins>
                  <w:customXmlInsRangeStart w:id="339" w:author="Giorgi Kobaladze" w:date="2020-07-17T06:38:00Z"/>
                </w:sdtContent>
              </w:sdt>
              <w:customXmlInsRangeEnd w:id="339"/>
              <w:customXmlInsRangeStart w:id="340" w:author="Giorgi Kobaladze" w:date="2020-07-17T06:38:00Z"/>
              <w:sdt>
                <w:sdtPr>
                  <w:tag w:val="goog_rdk_214"/>
                  <w:id w:val="-2117197774"/>
                </w:sdtPr>
                <w:sdtContent>
                  <w:customXmlInsRangeEnd w:id="340"/>
                  <w:ins w:id="341" w:author="Giorgi Kobaladze" w:date="2020-07-17T06:38:00Z">
                    <w:r w:rsidR="00790D5B">
                      <w:rPr>
                        <w:rFonts w:ascii="Times New Roman" w:eastAsia="Times New Roman" w:hAnsi="Times New Roman" w:cs="Times New Roman"/>
                        <w:color w:val="000000"/>
                        <w:shd w:val="clear" w:color="auto" w:fill="FEFEFE"/>
                        <w:rPrChange w:id="342" w:author="Giorgi Kobaladze" w:date="2020-07-17T06:39:00Z">
                          <w:rPr>
                            <w:rFonts w:ascii="Times New Roman" w:eastAsia="Times New Roman" w:hAnsi="Times New Roman" w:cs="Times New Roman"/>
                            <w:color w:val="000000"/>
                          </w:rPr>
                        </w:rPrChange>
                      </w:rPr>
                      <w:t xml:space="preserve">Aarhus Convention </w:t>
                    </w:r>
                  </w:ins>
                  <w:customXmlInsRangeStart w:id="343" w:author="Giorgi Kobaladze" w:date="2020-07-17T06:38:00Z"/>
                </w:sdtContent>
              </w:sdt>
              <w:customXmlInsRangeEnd w:id="343"/>
              <w:customXmlInsRangeStart w:id="344" w:author="Giorgi Kobaladze" w:date="2020-07-17T06:38:00Z"/>
              <w:sdt>
                <w:sdtPr>
                  <w:tag w:val="goog_rdk_215"/>
                  <w:id w:val="-256521804"/>
                </w:sdtPr>
                <w:sdtContent>
                  <w:customXmlInsRangeEnd w:id="344"/>
                  <w:ins w:id="345" w:author="Giorgi Kobaladze" w:date="2020-07-17T06:38:00Z">
                    <w:r w:rsidR="00790D5B">
                      <w:rPr>
                        <w:rFonts w:ascii="Times New Roman" w:eastAsia="Times New Roman" w:hAnsi="Times New Roman" w:cs="Times New Roman"/>
                        <w:color w:val="000000"/>
                        <w:shd w:val="clear" w:color="auto" w:fill="FEFEFE"/>
                        <w:rPrChange w:id="346" w:author="Giorgi Kobaladze" w:date="2020-07-17T06:39:00Z">
                          <w:rPr>
                            <w:rFonts w:ascii="Times New Roman" w:eastAsia="Times New Roman" w:hAnsi="Times New Roman" w:cs="Times New Roman"/>
                            <w:color w:val="000000"/>
                          </w:rPr>
                        </w:rPrChange>
                      </w:rPr>
                      <w:t xml:space="preserve">[A1] </w:t>
                    </w:r>
                  </w:ins>
                  <w:customXmlInsRangeStart w:id="347" w:author="Giorgi Kobaladze" w:date="2020-07-17T06:38:00Z"/>
                </w:sdtContent>
              </w:sdt>
              <w:customXmlInsRangeEnd w:id="347"/>
              <w:customXmlInsRangeStart w:id="348" w:author="Giorgi Kobaladze" w:date="2020-07-17T06:38:00Z"/>
              <w:sdt>
                <w:sdtPr>
                  <w:tag w:val="goog_rdk_216"/>
                  <w:id w:val="2015877188"/>
                </w:sdtPr>
                <w:sdtContent>
                  <w:customXmlInsRangeEnd w:id="348"/>
                  <w:customXmlInsRangeStart w:id="349" w:author="Giorgi Kobaladze" w:date="2020-07-17T06:38:00Z"/>
                  <w:customXmlDelRangeStart w:id="350" w:author="Giorgi Kobaladze" w:date="2020-07-17T06:38:00Z"/>
                  <w:sdt>
                    <w:sdtPr>
                      <w:tag w:val="goog_rdk_217"/>
                      <w:id w:val="1501542802"/>
                    </w:sdtPr>
                    <w:sdtContent>
                      <w:customXmlInsRangeEnd w:id="349"/>
                      <w:customXmlDelRangeEnd w:id="350"/>
                      <w:ins w:id="351" w:author="Giorgi Kobaladze" w:date="2020-07-17T06:38:00Z">
                        <w:del w:id="352" w:author="Giorgi Kobaladze" w:date="2020-07-17T06:38:00Z">
                          <w:r w:rsidR="00790D5B">
                            <w:rPr>
                              <w:rFonts w:ascii="Times New Roman" w:eastAsia="Times New Roman" w:hAnsi="Times New Roman" w:cs="Times New Roman"/>
                              <w:color w:val="000000"/>
                              <w:shd w:val="clear" w:color="auto" w:fill="FEFEFE"/>
                              <w:rPrChange w:id="353" w:author="Giorgi Kobaladze" w:date="2020-07-17T06:39:00Z">
                                <w:rPr>
                                  <w:rFonts w:ascii="Times New Roman" w:eastAsia="Times New Roman" w:hAnsi="Times New Roman" w:cs="Times New Roman"/>
                                  <w:color w:val="000000"/>
                                </w:rPr>
                              </w:rPrChange>
                            </w:rPr>
                            <w:delText xml:space="preserve"> </w:delText>
                          </w:r>
                        </w:del>
                      </w:ins>
                      <w:customXmlInsRangeStart w:id="354" w:author="Giorgi Kobaladze" w:date="2020-07-17T06:38:00Z"/>
                      <w:customXmlDelRangeStart w:id="355" w:author="Giorgi Kobaladze" w:date="2020-07-17T06:38:00Z"/>
                    </w:sdtContent>
                  </w:sdt>
                  <w:customXmlInsRangeEnd w:id="354"/>
                  <w:customXmlDelRangeEnd w:id="355"/>
                  <w:customXmlInsRangeStart w:id="356" w:author="Giorgi Kobaladze" w:date="2020-07-17T06:38:00Z"/>
                </w:sdtContent>
              </w:sdt>
              <w:customXmlInsRangeEnd w:id="356"/>
            </w:sdtContent>
          </w:sdt>
          <w:sdt>
            <w:sdtPr>
              <w:tag w:val="goog_rdk_218"/>
              <w:id w:val="-1380237438"/>
            </w:sdtPr>
            <w:sdtContent>
              <w:sdt>
                <w:sdtPr>
                  <w:tag w:val="goog_rdk_219"/>
                  <w:id w:val="2059895399"/>
                </w:sdtPr>
                <w:sdtContent>
                  <w:commentRangeStart w:id="357"/>
                </w:sdtContent>
              </w:sdt>
              <w:del w:id="358" w:author="Giorgi Kobaladze" w:date="2020-07-17T06:38:00Z">
                <w:r w:rsidR="00790D5B">
                  <w:rPr>
                    <w:rFonts w:ascii="Times New Roman" w:eastAsia="Times New Roman" w:hAnsi="Times New Roman" w:cs="Times New Roman"/>
                    <w:b/>
                    <w:i/>
                    <w:color w:val="000000"/>
                  </w:rPr>
                  <w:delText>Aa</w:delText>
                </w:r>
                <w:r w:rsidR="00790D5B">
                  <w:rPr>
                    <w:rFonts w:ascii="Times New Roman" w:eastAsia="Times New Roman" w:hAnsi="Times New Roman" w:cs="Times New Roman"/>
                    <w:i/>
                    <w:color w:val="000000"/>
                  </w:rPr>
                  <w:delText>r</w:delText>
                </w:r>
                <w:r w:rsidR="00790D5B">
                  <w:rPr>
                    <w:rFonts w:ascii="Times New Roman" w:eastAsia="Times New Roman" w:hAnsi="Times New Roman" w:cs="Times New Roman"/>
                    <w:b/>
                    <w:i/>
                    <w:color w:val="000000"/>
                  </w:rPr>
                  <w:delText xml:space="preserve">hus </w:delText>
                </w:r>
                <w:commentRangeEnd w:id="357"/>
                <w:r w:rsidR="00790D5B">
                  <w:commentReference w:id="357"/>
                </w:r>
                <w:r w:rsidR="00790D5B">
                  <w:rPr>
                    <w:b/>
                    <w:i/>
                    <w:highlight w:val="yellow"/>
                  </w:rPr>
                  <w:delText xml:space="preserve">Convention on Access to Information, Public Participation in Decision-Making and Access to Justice in Environmental Matters </w:delText>
                </w:r>
              </w:del>
            </w:sdtContent>
          </w:sdt>
          <w:r w:rsidR="00790D5B">
            <w:rPr>
              <w:b/>
              <w:i/>
              <w:highlight w:val="yellow"/>
            </w:rPr>
            <w:t>(ratified in</w:t>
          </w:r>
          <w:sdt>
            <w:sdtPr>
              <w:tag w:val="goog_rdk_220"/>
              <w:id w:val="-1532573963"/>
            </w:sdtPr>
            <w:sdtContent>
              <w:ins w:id="359" w:author="Giorgi Kobaladze" w:date="2020-07-17T06:37:00Z">
                <w:r w:rsidR="00790D5B">
                  <w:rPr>
                    <w:b/>
                    <w:i/>
                    <w:highlight w:val="yellow"/>
                  </w:rPr>
                  <w:t xml:space="preserve"> Aprile</w:t>
                </w:r>
              </w:ins>
            </w:sdtContent>
          </w:sdt>
          <w:r w:rsidR="00790D5B">
            <w:rPr>
              <w:b/>
              <w:i/>
              <w:highlight w:val="yellow"/>
            </w:rPr>
            <w:t xml:space="preserve"> 2000</w:t>
          </w:r>
          <w:r w:rsidR="00790D5B">
            <w:rPr>
              <w:b/>
              <w:highlight w:val="yellow"/>
            </w:rPr>
            <w:t xml:space="preserve">) </w:t>
          </w:r>
          <w:r w:rsidR="00790D5B">
            <w:rPr>
              <w:highlight w:val="yellow"/>
            </w:rPr>
            <w:t xml:space="preserve">helps member countries to establish rights of the public (individuals and their associations) to receive environmental information that is held by public authorities ("access to environmental information"). This can include information on the state of the environment, but also on policies or measures taken, or on the state of human health and safety where this can be affected by the state of the environment. In addition, public authorities are obliged, under the Convention, to actively disseminate environmental information in their possession. </w:t>
          </w:r>
          <w:sdt>
            <w:sdtPr>
              <w:tag w:val="goog_rdk_221"/>
              <w:id w:val="-1285575808"/>
            </w:sdtPr>
            <w:sdtContent>
              <w:sdt>
                <w:sdtPr>
                  <w:tag w:val="goog_rdk_222"/>
                  <w:id w:val="13437587"/>
                </w:sdtPr>
                <w:sdtContent>
                  <w:ins w:id="360" w:author="Giorgi Kobaladze" w:date="2020-07-17T06:39:00Z">
                    <w:r w:rsidR="00790D5B">
                      <w:rPr>
                        <w:shd w:val="clear" w:color="auto" w:fill="FEFEFE"/>
                        <w:rPrChange w:id="361" w:author="Giorgi Kobaladze" w:date="2020-07-17T06:39:00Z">
                          <w:rPr>
                            <w:highlight w:val="yellow"/>
                          </w:rPr>
                        </w:rPrChange>
                      </w:rPr>
                      <w:t xml:space="preserve">Since the GoG has </w:t>
                    </w:r>
                  </w:ins>
                </w:sdtContent>
              </w:sdt>
              <w:customXmlInsRangeStart w:id="362" w:author="Giorgi Kobaladze" w:date="2020-07-17T06:39:00Z"/>
              <w:sdt>
                <w:sdtPr>
                  <w:tag w:val="goog_rdk_223"/>
                  <w:id w:val="9034945"/>
                </w:sdtPr>
                <w:sdtContent>
                  <w:customXmlInsRangeEnd w:id="362"/>
                  <w:ins w:id="363" w:author="Giorgi Kobaladze" w:date="2020-07-17T06:39:00Z">
                    <w:r w:rsidR="00790D5B">
                      <w:rPr>
                        <w:shd w:val="clear" w:color="auto" w:fill="FEFEFE"/>
                        <w:rPrChange w:id="364" w:author="Giorgi Kobaladze" w:date="2020-07-17T06:39:00Z">
                          <w:rPr>
                            <w:highlight w:val="yellow"/>
                          </w:rPr>
                        </w:rPrChange>
                      </w:rPr>
                      <w:t>ratified</w:t>
                    </w:r>
                  </w:ins>
                  <w:customXmlInsRangeStart w:id="365" w:author="Giorgi Kobaladze" w:date="2020-07-17T06:39:00Z"/>
                </w:sdtContent>
              </w:sdt>
              <w:customXmlInsRangeEnd w:id="365"/>
              <w:customXmlInsRangeStart w:id="366" w:author="Giorgi Kobaladze" w:date="2020-07-17T06:39:00Z"/>
              <w:sdt>
                <w:sdtPr>
                  <w:tag w:val="goog_rdk_224"/>
                  <w:id w:val="999240994"/>
                </w:sdtPr>
                <w:sdtContent>
                  <w:customXmlInsRangeEnd w:id="366"/>
                  <w:ins w:id="367" w:author="Giorgi Kobaladze" w:date="2020-07-17T06:39:00Z">
                    <w:r w:rsidR="00790D5B">
                      <w:rPr>
                        <w:shd w:val="clear" w:color="auto" w:fill="FEFEFE"/>
                        <w:rPrChange w:id="368" w:author="Giorgi Kobaladze" w:date="2020-07-17T06:39:00Z">
                          <w:rPr>
                            <w:highlight w:val="yellow"/>
                          </w:rPr>
                        </w:rPrChange>
                      </w:rPr>
                      <w:t xml:space="preserve"> the convention, the county took obligation to ensure citizens’ access to justice in environmental matters. The obligation considers provision of a package of guarantees that allows citizens, including civil society, to ask a national court to check whether a public authority has respected the rights and fulfilled the related legal requirements</w:t>
                    </w:r>
                  </w:ins>
                  <w:customXmlInsRangeStart w:id="369" w:author="Giorgi Kobaladze" w:date="2020-07-17T06:39:00Z"/>
                </w:sdtContent>
              </w:sdt>
              <w:customXmlInsRangeEnd w:id="369"/>
            </w:sdtContent>
          </w:sdt>
          <w:sdt>
            <w:sdtPr>
              <w:tag w:val="goog_rdk_225"/>
              <w:id w:val="-1558004088"/>
            </w:sdtPr>
            <w:sdtContent>
              <w:sdt>
                <w:sdtPr>
                  <w:tag w:val="goog_rdk_226"/>
                  <w:id w:val="-1633785572"/>
                </w:sdtPr>
                <w:sdtContent>
                  <w:del w:id="370" w:author="Giorgi Kobaladze" w:date="2020-07-17T06:39:00Z">
                    <w:r w:rsidR="00790D5B">
                      <w:rPr>
                        <w:shd w:val="clear" w:color="auto" w:fill="FEFEFE"/>
                        <w:rPrChange w:id="371" w:author="Giorgi Kobaladze" w:date="2020-07-17T06:39:00Z">
                          <w:rPr>
                            <w:highlight w:val="yellow"/>
                          </w:rPr>
                        </w:rPrChange>
                      </w:rPr>
                      <w:delText>Convention also provides recommendations for free access to justice in environmental matters</w:delText>
                    </w:r>
                  </w:del>
                </w:sdtContent>
              </w:sdt>
            </w:sdtContent>
          </w:sdt>
          <w:sdt>
            <w:sdtPr>
              <w:tag w:val="goog_rdk_227"/>
              <w:id w:val="-855806045"/>
            </w:sdtPr>
            <w:sdtContent/>
          </w:sdt>
        </w:p>
      </w:sdtContent>
    </w:sdt>
    <w:p w14:paraId="00000123" w14:textId="77777777" w:rsidR="009F1887" w:rsidRDefault="00790D5B">
      <w:pPr>
        <w:keepNext/>
        <w:keepLines/>
        <w:numPr>
          <w:ilvl w:val="0"/>
          <w:numId w:val="22"/>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Fundamental, Governance and Technical conventions of the International Labor Organization (ILO) covering regulations on employment policy, remuneration, holidays with pay, human resources development, minimum age, freedom of association, etc. as well as those prohibiting forced labor, child labor and discrimination. </w:t>
      </w:r>
    </w:p>
    <w:p w14:paraId="00000124" w14:textId="77777777" w:rsidR="009F1887" w:rsidRDefault="00790D5B">
      <w:pPr>
        <w:pStyle w:val="Heading2"/>
        <w:numPr>
          <w:ilvl w:val="1"/>
          <w:numId w:val="66"/>
        </w:numPr>
        <w:spacing w:after="240"/>
        <w:ind w:left="360"/>
      </w:pPr>
      <w:r>
        <w:t xml:space="preserve"> Environmental and Social Standards of the World Bank Relevant for the Project</w:t>
      </w:r>
    </w:p>
    <w:p w14:paraId="00000125"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Emergency COVID-19 Response Project is required to comply with the World Bank ESF. The ESF sets out the World Bank’s commitment to sustainable development, through the Bank Policy and a set of ESSs that are designed to support borrowers’ projects with the aim of ending extreme poverty and promoting shared prosperity. The ESSs set out the requirements relating to the identification and assessment of environmental and social risks and impacts associated with projects supported by the Bank through Investment Project Financing. The World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 by: </w:t>
      </w:r>
    </w:p>
    <w:p w14:paraId="00000126" w14:textId="77777777" w:rsidR="009F1887" w:rsidRDefault="00790D5B">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Supporting Borrowers/Clients/Implementing Agencies in achieving good international practice relating to environmental and social sustainability; </w:t>
      </w:r>
    </w:p>
    <w:p w14:paraId="00000127" w14:textId="77777777" w:rsidR="009F1887" w:rsidRDefault="00790D5B">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Assisting borrowers/clients/implementing agencies in fulfilling their national and international environmental and social obligations;</w:t>
      </w:r>
    </w:p>
    <w:p w14:paraId="00000128" w14:textId="77777777" w:rsidR="009F1887" w:rsidRDefault="00790D5B">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Enhancing nondiscrimination, transparency, participation, accountability and governance; and</w:t>
      </w:r>
    </w:p>
    <w:p w14:paraId="00000129" w14:textId="77777777" w:rsidR="009F1887" w:rsidRDefault="00790D5B">
      <w:pPr>
        <w:numPr>
          <w:ilvl w:val="0"/>
          <w:numId w:val="9"/>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Enhancing the sustainable development outcomes of projects through ongoing stakeholder engagement. </w:t>
      </w:r>
    </w:p>
    <w:p w14:paraId="0000012A"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Of the ten ESSs comprising the ESF, five are relevant to the Georgia Emergency COVID-19 Response project. They establish the standards that the project and its implementing agency (M</w:t>
      </w:r>
      <w:r>
        <w:rPr>
          <w:rFonts w:ascii="Merriweather" w:eastAsia="Merriweather" w:hAnsi="Merriweather" w:cs="Merriweather"/>
        </w:rPr>
        <w:t>o</w:t>
      </w:r>
      <w:r>
        <w:rPr>
          <w:rFonts w:ascii="Times New Roman" w:eastAsia="Times New Roman" w:hAnsi="Times New Roman" w:cs="Times New Roman"/>
        </w:rPr>
        <w:t xml:space="preserve">ILHSA) will meet through the project life cycle, as follows:   </w:t>
      </w:r>
    </w:p>
    <w:p w14:paraId="0000012B" w14:textId="77777777" w:rsidR="009F1887" w:rsidRDefault="00790D5B">
      <w:pPr>
        <w:spacing w:after="240"/>
        <w:ind w:left="360"/>
        <w:jc w:val="both"/>
        <w:rPr>
          <w:rFonts w:ascii="Times New Roman" w:eastAsia="Times New Roman" w:hAnsi="Times New Roman" w:cs="Times New Roman"/>
        </w:rPr>
      </w:pPr>
      <w:r>
        <w:rPr>
          <w:rFonts w:ascii="Times New Roman" w:eastAsia="Times New Roman" w:hAnsi="Times New Roman" w:cs="Times New Roman"/>
        </w:rPr>
        <w:t xml:space="preserve">ESS 1 - </w:t>
      </w:r>
      <w:r>
        <w:rPr>
          <w:rFonts w:ascii="Times New Roman" w:eastAsia="Times New Roman" w:hAnsi="Times New Roman" w:cs="Times New Roman"/>
          <w:b/>
          <w:i/>
        </w:rPr>
        <w:t xml:space="preserve">Assessment and Management of Environmental and Social Risks and Impacts. </w:t>
      </w:r>
      <w:r>
        <w:rPr>
          <w:rFonts w:ascii="Times New Roman" w:eastAsia="Times New Roman" w:hAnsi="Times New Roman" w:cs="Times New Roman"/>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0000012C" w14:textId="77777777" w:rsidR="009F1887" w:rsidRDefault="00790D5B">
      <w:pPr>
        <w:spacing w:after="240"/>
        <w:ind w:left="360"/>
        <w:jc w:val="both"/>
        <w:rPr>
          <w:rFonts w:ascii="Times New Roman" w:eastAsia="Times New Roman" w:hAnsi="Times New Roman" w:cs="Times New Roman"/>
        </w:rPr>
      </w:pPr>
      <w:r>
        <w:rPr>
          <w:rFonts w:ascii="Times New Roman" w:eastAsia="Times New Roman" w:hAnsi="Times New Roman" w:cs="Times New Roman"/>
        </w:rPr>
        <w:t xml:space="preserve">ESS 2 – </w:t>
      </w:r>
      <w:r>
        <w:rPr>
          <w:rFonts w:ascii="Times New Roman" w:eastAsia="Times New Roman" w:hAnsi="Times New Roman" w:cs="Times New Roman"/>
          <w:b/>
          <w:i/>
        </w:rPr>
        <w:t>Labor and Working Conditions</w:t>
      </w:r>
      <w:r>
        <w:rPr>
          <w:rFonts w:ascii="Times New Roman" w:eastAsia="Times New Roman" w:hAnsi="Times New Roman" w:cs="Times New Roma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000012D" w14:textId="77777777" w:rsidR="009F1887" w:rsidRDefault="00790D5B">
      <w:pPr>
        <w:spacing w:after="240"/>
        <w:ind w:left="360"/>
        <w:jc w:val="both"/>
        <w:rPr>
          <w:rFonts w:ascii="Times New Roman" w:eastAsia="Times New Roman" w:hAnsi="Times New Roman" w:cs="Times New Roman"/>
        </w:rPr>
      </w:pPr>
      <w:r>
        <w:rPr>
          <w:rFonts w:ascii="Times New Roman" w:eastAsia="Times New Roman" w:hAnsi="Times New Roman" w:cs="Times New Roman"/>
        </w:rPr>
        <w:t xml:space="preserve">ESS 3 – </w:t>
      </w:r>
      <w:r>
        <w:rPr>
          <w:rFonts w:ascii="Times New Roman" w:eastAsia="Times New Roman" w:hAnsi="Times New Roman" w:cs="Times New Roman"/>
          <w:b/>
          <w:i/>
        </w:rPr>
        <w:t>Resource and Efficiency, Pollution Prevention and Management</w:t>
      </w:r>
      <w:r>
        <w:rPr>
          <w:rFonts w:ascii="Times New Roman" w:eastAsia="Times New Roman" w:hAnsi="Times New Roman" w:cs="Times New Roman"/>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0000012E" w14:textId="77777777" w:rsidR="009F1887" w:rsidRDefault="00790D5B">
      <w:pPr>
        <w:spacing w:after="240"/>
        <w:ind w:left="360"/>
        <w:jc w:val="both"/>
        <w:rPr>
          <w:rFonts w:ascii="Times New Roman" w:eastAsia="Times New Roman" w:hAnsi="Times New Roman" w:cs="Times New Roman"/>
        </w:rPr>
      </w:pPr>
      <w:r>
        <w:rPr>
          <w:rFonts w:ascii="Times New Roman" w:eastAsia="Times New Roman" w:hAnsi="Times New Roman" w:cs="Times New Roman"/>
        </w:rPr>
        <w:t xml:space="preserve">ESS 4 – </w:t>
      </w:r>
      <w:r>
        <w:rPr>
          <w:rFonts w:ascii="Times New Roman" w:eastAsia="Times New Roman" w:hAnsi="Times New Roman" w:cs="Times New Roman"/>
          <w:b/>
          <w:i/>
        </w:rPr>
        <w:t>Community Health and Safety</w:t>
      </w:r>
      <w:r>
        <w:rPr>
          <w:rFonts w:ascii="Times New Roman" w:eastAsia="Times New Roman" w:hAnsi="Times New Roman" w:cs="Times New Roma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0000012F" w14:textId="77777777" w:rsidR="009F1887" w:rsidRDefault="00790D5B">
      <w:pPr>
        <w:spacing w:after="240"/>
        <w:ind w:left="360"/>
        <w:jc w:val="both"/>
        <w:rPr>
          <w:rFonts w:ascii="Times New Roman" w:eastAsia="Times New Roman" w:hAnsi="Times New Roman" w:cs="Times New Roman"/>
        </w:rPr>
      </w:pPr>
      <w:r>
        <w:rPr>
          <w:rFonts w:ascii="Times New Roman" w:eastAsia="Times New Roman" w:hAnsi="Times New Roman" w:cs="Times New Roman"/>
        </w:rPr>
        <w:lastRenderedPageBreak/>
        <w:t xml:space="preserve">ESS 10 – </w:t>
      </w:r>
      <w:r>
        <w:rPr>
          <w:rFonts w:ascii="Times New Roman" w:eastAsia="Times New Roman" w:hAnsi="Times New Roman" w:cs="Times New Roman"/>
          <w:b/>
          <w:i/>
        </w:rPr>
        <w:t>Stakeholder Engagement and Information Disclosure</w:t>
      </w:r>
      <w:r>
        <w:rPr>
          <w:rFonts w:ascii="Times New Roman" w:eastAsia="Times New Roman" w:hAnsi="Times New Roman" w:cs="Times New Roma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00000130" w14:textId="77777777" w:rsidR="009F1887" w:rsidRDefault="00790D5B">
      <w:pPr>
        <w:pStyle w:val="Heading2"/>
        <w:numPr>
          <w:ilvl w:val="1"/>
          <w:numId w:val="66"/>
        </w:numPr>
        <w:spacing w:after="240"/>
        <w:ind w:left="360"/>
      </w:pPr>
      <w:r>
        <w:t>The World Bank Group Environmental Health and Safety Guidelines</w:t>
      </w:r>
    </w:p>
    <w:p w14:paraId="00000131" w14:textId="77777777" w:rsidR="009F1887" w:rsidRDefault="00790D5B">
      <w:pPr>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The Environmental, Health and Safety (EHS) Guidelines</w:t>
      </w:r>
      <w:r>
        <w:rPr>
          <w:rFonts w:ascii="Times New Roman" w:eastAsia="Times New Roman" w:hAnsi="Times New Roman" w:cs="Times New Roman"/>
          <w:color w:val="000000"/>
          <w:vertAlign w:val="superscript"/>
        </w:rPr>
        <w:footnoteReference w:id="16"/>
      </w:r>
      <w:r>
        <w:rPr>
          <w:rFonts w:ascii="Times New Roman" w:eastAsia="Times New Roman" w:hAnsi="Times New Roman" w:cs="Times New Roman"/>
          <w:color w:val="000000"/>
        </w:rPr>
        <w:t xml:space="preserve"> are technical reference documents with general and industry-specific examples of GIIP and are referred to in the ESF. The EHS Guidelines contain the performance levels and measures that are normally acceptable to the World Bank Group, and that are generally considered to be achievable in new facilities at reasonable costs by existing technology. The World Bank Group requires borrowers to apply the relevant levels or measures of the EHS Guidelines. When host country regulations differ from the levels and measures presented in the EHS Guidelines, projects will be required to achieve whichever is more stringent. General EHS Guidelines apply to the Georgia Emergency COVID-19 Response Project and most relevant of them are listed below: </w:t>
      </w:r>
    </w:p>
    <w:sdt>
      <w:sdtPr>
        <w:tag w:val="goog_rdk_232"/>
        <w:id w:val="-1818480811"/>
      </w:sdtPr>
      <w:sdtContent>
        <w:p w14:paraId="00000132" w14:textId="77777777" w:rsidR="009F1887" w:rsidRPr="009F1887" w:rsidRDefault="00EC15FD">
          <w:pPr>
            <w:keepLines/>
            <w:spacing w:after="0"/>
            <w:ind w:left="360"/>
            <w:rPr>
              <w:ins w:id="372" w:author="Giorgi Kobaladze" w:date="2020-07-17T06:40:00Z"/>
              <w:rFonts w:ascii="Times New Roman" w:eastAsia="Times New Roman" w:hAnsi="Times New Roman" w:cs="Times New Roman"/>
              <w:color w:val="000000"/>
              <w:shd w:val="clear" w:color="auto" w:fill="FEFEFE"/>
              <w:rPrChange w:id="373" w:author="Giorgi Kobaladze" w:date="2020-07-17T06:55:00Z">
                <w:rPr>
                  <w:ins w:id="374" w:author="Giorgi Kobaladze" w:date="2020-07-17T06:40:00Z"/>
                  <w:rFonts w:ascii="Times New Roman" w:eastAsia="Times New Roman" w:hAnsi="Times New Roman" w:cs="Times New Roman"/>
                  <w:color w:val="000000"/>
                </w:rPr>
              </w:rPrChange>
            </w:rPr>
          </w:pPr>
          <w:sdt>
            <w:sdtPr>
              <w:tag w:val="goog_rdk_230"/>
              <w:id w:val="1768263759"/>
            </w:sdtPr>
            <w:sdtContent>
              <w:sdt>
                <w:sdtPr>
                  <w:tag w:val="goog_rdk_231"/>
                  <w:id w:val="151878122"/>
                </w:sdtPr>
                <w:sdtContent>
                  <w:ins w:id="375" w:author="Giorgi Kobaladze" w:date="2020-07-17T06:40:00Z">
                    <w:r w:rsidR="00790D5B">
                      <w:rPr>
                        <w:rFonts w:ascii="Times New Roman" w:eastAsia="Times New Roman" w:hAnsi="Times New Roman" w:cs="Times New Roman"/>
                        <w:color w:val="000000"/>
                        <w:shd w:val="clear" w:color="auto" w:fill="FEFEFE"/>
                        <w:rPrChange w:id="376" w:author="Giorgi Kobaladze" w:date="2020-07-17T06:55:00Z">
                          <w:rPr>
                            <w:rFonts w:ascii="Times New Roman" w:eastAsia="Times New Roman" w:hAnsi="Times New Roman" w:cs="Times New Roman"/>
                            <w:color w:val="000000"/>
                          </w:rPr>
                        </w:rPrChange>
                      </w:rPr>
                      <w:t>EHS 1.1 – Air Emissions and Ambient Air Quality;</w:t>
                    </w:r>
                  </w:ins>
                </w:sdtContent>
              </w:sdt>
            </w:sdtContent>
          </w:sdt>
        </w:p>
      </w:sdtContent>
    </w:sdt>
    <w:sdt>
      <w:sdtPr>
        <w:tag w:val="goog_rdk_235"/>
        <w:id w:val="-1243880044"/>
      </w:sdtPr>
      <w:sdtContent>
        <w:p w14:paraId="00000133" w14:textId="77777777" w:rsidR="009F1887" w:rsidRPr="009F1887" w:rsidRDefault="00EC15FD">
          <w:pPr>
            <w:keepLines/>
            <w:spacing w:after="0"/>
            <w:ind w:left="360"/>
            <w:rPr>
              <w:ins w:id="377" w:author="Giorgi Kobaladze" w:date="2020-07-17T06:40:00Z"/>
              <w:rFonts w:ascii="Times New Roman" w:eastAsia="Times New Roman" w:hAnsi="Times New Roman" w:cs="Times New Roman"/>
              <w:color w:val="000000"/>
              <w:shd w:val="clear" w:color="auto" w:fill="FEFEFE"/>
              <w:rPrChange w:id="378" w:author="Giorgi Kobaladze" w:date="2020-07-17T06:55:00Z">
                <w:rPr>
                  <w:ins w:id="379" w:author="Giorgi Kobaladze" w:date="2020-07-17T06:40:00Z"/>
                  <w:rFonts w:ascii="Times New Roman" w:eastAsia="Times New Roman" w:hAnsi="Times New Roman" w:cs="Times New Roman"/>
                  <w:color w:val="000000"/>
                </w:rPr>
              </w:rPrChange>
            </w:rPr>
          </w:pPr>
          <w:sdt>
            <w:sdtPr>
              <w:tag w:val="goog_rdk_233"/>
              <w:id w:val="1307587954"/>
            </w:sdtPr>
            <w:sdtContent>
              <w:sdt>
                <w:sdtPr>
                  <w:tag w:val="goog_rdk_234"/>
                  <w:id w:val="458000368"/>
                </w:sdtPr>
                <w:sdtContent>
                  <w:ins w:id="380" w:author="Giorgi Kobaladze" w:date="2020-07-17T06:40:00Z">
                    <w:r w:rsidR="00790D5B">
                      <w:rPr>
                        <w:rFonts w:ascii="Times New Roman" w:eastAsia="Times New Roman" w:hAnsi="Times New Roman" w:cs="Times New Roman"/>
                        <w:color w:val="000000"/>
                        <w:shd w:val="clear" w:color="auto" w:fill="FEFEFE"/>
                        <w:rPrChange w:id="381" w:author="Giorgi Kobaladze" w:date="2020-07-17T06:55:00Z">
                          <w:rPr>
                            <w:rFonts w:ascii="Times New Roman" w:eastAsia="Times New Roman" w:hAnsi="Times New Roman" w:cs="Times New Roman"/>
                            <w:color w:val="000000"/>
                          </w:rPr>
                        </w:rPrChange>
                      </w:rPr>
                      <w:t>EHS 1.3 – Wastewater and Ambient Water Quality;</w:t>
                    </w:r>
                  </w:ins>
                </w:sdtContent>
              </w:sdt>
            </w:sdtContent>
          </w:sdt>
        </w:p>
      </w:sdtContent>
    </w:sdt>
    <w:sdt>
      <w:sdtPr>
        <w:tag w:val="goog_rdk_239"/>
        <w:id w:val="-315964276"/>
      </w:sdtPr>
      <w:sdtContent>
        <w:p w14:paraId="00000134" w14:textId="77777777" w:rsidR="009F1887" w:rsidRPr="009F1887" w:rsidRDefault="00EC15FD">
          <w:pPr>
            <w:keepLines/>
            <w:pBdr>
              <w:top w:val="nil"/>
              <w:left w:val="nil"/>
              <w:bottom w:val="nil"/>
              <w:right w:val="nil"/>
              <w:between w:val="nil"/>
            </w:pBdr>
            <w:spacing w:after="0"/>
            <w:ind w:left="360"/>
            <w:rPr>
              <w:ins w:id="382" w:author="Giorgi Kobaladze" w:date="2020-07-17T06:40:00Z"/>
              <w:rFonts w:ascii="Times New Roman" w:eastAsia="Times New Roman" w:hAnsi="Times New Roman" w:cs="Times New Roman"/>
              <w:color w:val="000000"/>
              <w:shd w:val="clear" w:color="auto" w:fill="FEFEFE"/>
              <w:rPrChange w:id="383" w:author="Giorgi Kobaladze" w:date="2020-07-17T06:55:00Z">
                <w:rPr>
                  <w:ins w:id="384" w:author="Giorgi Kobaladze" w:date="2020-07-17T06:40:00Z"/>
                  <w:rFonts w:ascii="Times New Roman" w:eastAsia="Times New Roman" w:hAnsi="Times New Roman" w:cs="Times New Roman"/>
                  <w:color w:val="000000"/>
                </w:rPr>
              </w:rPrChange>
            </w:rPr>
          </w:pPr>
          <w:sdt>
            <w:sdtPr>
              <w:tag w:val="goog_rdk_236"/>
              <w:id w:val="-1014757322"/>
            </w:sdtPr>
            <w:sdtContent>
              <w:r w:rsidR="00790D5B">
                <w:rPr>
                  <w:rFonts w:ascii="Times New Roman" w:eastAsia="Times New Roman" w:hAnsi="Times New Roman" w:cs="Times New Roman"/>
                  <w:color w:val="000000"/>
                  <w:shd w:val="clear" w:color="auto" w:fill="FEFEFE"/>
                  <w:rPrChange w:id="385" w:author="Giorgi Kobaladze" w:date="2020-07-17T06:55:00Z">
                    <w:rPr>
                      <w:rFonts w:ascii="Times New Roman" w:eastAsia="Times New Roman" w:hAnsi="Times New Roman" w:cs="Times New Roman"/>
                      <w:color w:val="000000"/>
                    </w:rPr>
                  </w:rPrChange>
                </w:rPr>
                <w:t>EHS 1.5 – Hazardous Materials Management;</w:t>
              </w:r>
            </w:sdtContent>
          </w:sdt>
          <w:sdt>
            <w:sdtPr>
              <w:tag w:val="goog_rdk_237"/>
              <w:id w:val="215710063"/>
            </w:sdtPr>
            <w:sdtContent>
              <w:sdt>
                <w:sdtPr>
                  <w:tag w:val="goog_rdk_238"/>
                  <w:id w:val="958374185"/>
                </w:sdtPr>
                <w:sdtContent/>
              </w:sdt>
            </w:sdtContent>
          </w:sdt>
        </w:p>
      </w:sdtContent>
    </w:sdt>
    <w:sdt>
      <w:sdtPr>
        <w:tag w:val="goog_rdk_242"/>
        <w:id w:val="2058508280"/>
      </w:sdtPr>
      <w:sdtContent>
        <w:p w14:paraId="00000135" w14:textId="77777777" w:rsidR="009F1887" w:rsidRPr="009F1887" w:rsidRDefault="00EC15FD">
          <w:pPr>
            <w:keepLines/>
            <w:spacing w:after="0"/>
            <w:ind w:left="360"/>
            <w:rPr>
              <w:ins w:id="386" w:author="Giorgi Kobaladze" w:date="2020-07-17T06:40:00Z"/>
              <w:rFonts w:ascii="Times New Roman" w:eastAsia="Times New Roman" w:hAnsi="Times New Roman" w:cs="Times New Roman"/>
              <w:color w:val="000000"/>
              <w:shd w:val="clear" w:color="auto" w:fill="FEFEFE"/>
              <w:rPrChange w:id="387" w:author="Giorgi Kobaladze" w:date="2020-07-17T06:55:00Z">
                <w:rPr>
                  <w:ins w:id="388" w:author="Giorgi Kobaladze" w:date="2020-07-17T06:40:00Z"/>
                  <w:rFonts w:ascii="Times New Roman" w:eastAsia="Times New Roman" w:hAnsi="Times New Roman" w:cs="Times New Roman"/>
                  <w:color w:val="000000"/>
                </w:rPr>
              </w:rPrChange>
            </w:rPr>
          </w:pPr>
          <w:sdt>
            <w:sdtPr>
              <w:tag w:val="goog_rdk_240"/>
              <w:id w:val="1994754493"/>
            </w:sdtPr>
            <w:sdtContent>
              <w:sdt>
                <w:sdtPr>
                  <w:tag w:val="goog_rdk_241"/>
                  <w:id w:val="-2044041154"/>
                </w:sdtPr>
                <w:sdtContent>
                  <w:ins w:id="389" w:author="Giorgi Kobaladze" w:date="2020-07-17T06:40:00Z">
                    <w:r w:rsidR="00790D5B">
                      <w:rPr>
                        <w:rFonts w:ascii="Times New Roman" w:eastAsia="Times New Roman" w:hAnsi="Times New Roman" w:cs="Times New Roman"/>
                        <w:color w:val="000000"/>
                        <w:shd w:val="clear" w:color="auto" w:fill="FEFEFE"/>
                        <w:rPrChange w:id="390" w:author="Giorgi Kobaladze" w:date="2020-07-17T06:55:00Z">
                          <w:rPr>
                            <w:rFonts w:ascii="Times New Roman" w:eastAsia="Times New Roman" w:hAnsi="Times New Roman" w:cs="Times New Roman"/>
                            <w:color w:val="000000"/>
                          </w:rPr>
                        </w:rPrChange>
                      </w:rPr>
                      <w:t>EHS 1.6 – Waste  Management;</w:t>
                    </w:r>
                  </w:ins>
                </w:sdtContent>
              </w:sdt>
            </w:sdtContent>
          </w:sdt>
        </w:p>
      </w:sdtContent>
    </w:sdt>
    <w:sdt>
      <w:sdtPr>
        <w:tag w:val="goog_rdk_247"/>
        <w:id w:val="1541626072"/>
      </w:sdtPr>
      <w:sdtContent>
        <w:p w14:paraId="00000136" w14:textId="77777777" w:rsidR="009F1887" w:rsidRPr="009F1887" w:rsidRDefault="00EC15FD">
          <w:pPr>
            <w:keepLines/>
            <w:spacing w:after="0"/>
            <w:ind w:left="360"/>
            <w:rPr>
              <w:ins w:id="391" w:author="Giorgi Kobaladze" w:date="2020-07-17T06:40:00Z"/>
              <w:rFonts w:ascii="Times New Roman" w:eastAsia="Times New Roman" w:hAnsi="Times New Roman" w:cs="Times New Roman"/>
              <w:color w:val="000000"/>
              <w:shd w:val="clear" w:color="auto" w:fill="FEFEFE"/>
              <w:rPrChange w:id="392" w:author="Giorgi Kobaladze" w:date="2020-07-17T06:55:00Z">
                <w:rPr>
                  <w:ins w:id="393" w:author="Giorgi Kobaladze" w:date="2020-07-17T06:40:00Z"/>
                  <w:rFonts w:ascii="Times New Roman" w:eastAsia="Times New Roman" w:hAnsi="Times New Roman" w:cs="Times New Roman"/>
                  <w:color w:val="000000"/>
                </w:rPr>
              </w:rPrChange>
            </w:rPr>
          </w:pPr>
          <w:sdt>
            <w:sdtPr>
              <w:tag w:val="goog_rdk_243"/>
              <w:id w:val="-1287498475"/>
            </w:sdtPr>
            <w:sdtContent>
              <w:sdt>
                <w:sdtPr>
                  <w:tag w:val="goog_rdk_244"/>
                  <w:id w:val="574399226"/>
                </w:sdtPr>
                <w:sdtContent>
                  <w:ins w:id="394" w:author="Giorgi Kobaladze" w:date="2020-07-17T06:40:00Z">
                    <w:r w:rsidR="00790D5B">
                      <w:rPr>
                        <w:rFonts w:ascii="Times New Roman" w:eastAsia="Times New Roman" w:hAnsi="Times New Roman" w:cs="Times New Roman"/>
                        <w:color w:val="000000"/>
                        <w:shd w:val="clear" w:color="auto" w:fill="FEFEFE"/>
                        <w:rPrChange w:id="395" w:author="Giorgi Kobaladze" w:date="2020-07-17T06:55:00Z">
                          <w:rPr>
                            <w:rFonts w:ascii="Times New Roman" w:eastAsia="Times New Roman" w:hAnsi="Times New Roman" w:cs="Times New Roman"/>
                            <w:color w:val="000000"/>
                          </w:rPr>
                        </w:rPrChange>
                      </w:rPr>
                      <w:t xml:space="preserve">EHS 2.3 – </w:t>
                    </w:r>
                  </w:ins>
                </w:sdtContent>
              </w:sdt>
              <w:customXmlInsRangeStart w:id="396" w:author="Giorgi Kobaladze" w:date="2020-07-17T06:40:00Z"/>
              <w:sdt>
                <w:sdtPr>
                  <w:tag w:val="goog_rdk_245"/>
                  <w:id w:val="-1593620973"/>
                </w:sdtPr>
                <w:sdtContent>
                  <w:customXmlInsRangeEnd w:id="396"/>
                  <w:ins w:id="397" w:author="Giorgi Kobaladze" w:date="2020-07-17T06:40:00Z">
                    <w:r w:rsidR="00790D5B">
                      <w:rPr>
                        <w:rFonts w:ascii="Times New Roman" w:eastAsia="Times New Roman" w:hAnsi="Times New Roman" w:cs="Times New Roman"/>
                        <w:color w:val="000000"/>
                        <w:shd w:val="clear" w:color="auto" w:fill="FEFEFE"/>
                        <w:rPrChange w:id="398" w:author="Giorgi Kobaladze" w:date="2020-07-17T06:55:00Z">
                          <w:rPr>
                            <w:rFonts w:ascii="Times New Roman" w:eastAsia="Times New Roman" w:hAnsi="Times New Roman" w:cs="Times New Roman"/>
                            <w:color w:val="000000"/>
                          </w:rPr>
                        </w:rPrChange>
                      </w:rPr>
                      <w:t>Physical Hazards</w:t>
                    </w:r>
                  </w:ins>
                  <w:customXmlInsRangeStart w:id="399" w:author="Giorgi Kobaladze" w:date="2020-07-17T06:40:00Z"/>
                </w:sdtContent>
              </w:sdt>
              <w:customXmlInsRangeEnd w:id="399"/>
              <w:customXmlInsRangeStart w:id="400" w:author="Giorgi Kobaladze" w:date="2020-07-17T06:40:00Z"/>
              <w:sdt>
                <w:sdtPr>
                  <w:tag w:val="goog_rdk_246"/>
                  <w:id w:val="-1960560753"/>
                </w:sdtPr>
                <w:sdtContent>
                  <w:customXmlInsRangeEnd w:id="400"/>
                  <w:ins w:id="401" w:author="Giorgi Kobaladze" w:date="2020-07-17T06:40:00Z">
                    <w:r w:rsidR="00790D5B">
                      <w:rPr>
                        <w:rFonts w:ascii="Times New Roman" w:eastAsia="Times New Roman" w:hAnsi="Times New Roman" w:cs="Times New Roman"/>
                        <w:color w:val="000000"/>
                        <w:shd w:val="clear" w:color="auto" w:fill="FEFEFE"/>
                        <w:rPrChange w:id="402" w:author="Giorgi Kobaladze" w:date="2020-07-17T06:55:00Z">
                          <w:rPr>
                            <w:rFonts w:ascii="Times New Roman" w:eastAsia="Times New Roman" w:hAnsi="Times New Roman" w:cs="Times New Roman"/>
                            <w:color w:val="000000"/>
                          </w:rPr>
                        </w:rPrChange>
                      </w:rPr>
                      <w:t>;</w:t>
                    </w:r>
                  </w:ins>
                  <w:customXmlInsRangeStart w:id="403" w:author="Giorgi Kobaladze" w:date="2020-07-17T06:40:00Z"/>
                </w:sdtContent>
              </w:sdt>
              <w:customXmlInsRangeEnd w:id="403"/>
            </w:sdtContent>
          </w:sdt>
        </w:p>
      </w:sdtContent>
    </w:sdt>
    <w:sdt>
      <w:sdtPr>
        <w:tag w:val="goog_rdk_253"/>
        <w:id w:val="-692297064"/>
      </w:sdtPr>
      <w:sdtContent>
        <w:p w14:paraId="00000137" w14:textId="77777777" w:rsidR="009F1887" w:rsidRPr="009F1887" w:rsidRDefault="00EC15FD">
          <w:pPr>
            <w:keepLines/>
            <w:pBdr>
              <w:top w:val="nil"/>
              <w:left w:val="nil"/>
              <w:bottom w:val="nil"/>
              <w:right w:val="nil"/>
              <w:between w:val="nil"/>
            </w:pBdr>
            <w:spacing w:after="0"/>
            <w:ind w:left="360"/>
            <w:rPr>
              <w:rFonts w:ascii="Times New Roman" w:eastAsia="Times New Roman" w:hAnsi="Times New Roman" w:cs="Times New Roman"/>
              <w:color w:val="000000"/>
              <w:shd w:val="clear" w:color="auto" w:fill="FEFEFE"/>
              <w:rPrChange w:id="404" w:author="Giorgi Kobaladze" w:date="2020-07-17T06:55:00Z">
                <w:rPr>
                  <w:rFonts w:ascii="Times New Roman" w:eastAsia="Times New Roman" w:hAnsi="Times New Roman" w:cs="Times New Roman"/>
                  <w:color w:val="000000"/>
                </w:rPr>
              </w:rPrChange>
            </w:rPr>
          </w:pPr>
          <w:sdt>
            <w:sdtPr>
              <w:tag w:val="goog_rdk_248"/>
              <w:id w:val="-1399286351"/>
            </w:sdtPr>
            <w:sdtContent>
              <w:sdt>
                <w:sdtPr>
                  <w:tag w:val="goog_rdk_249"/>
                  <w:id w:val="-1293277657"/>
                </w:sdtPr>
                <w:sdtContent>
                  <w:ins w:id="405" w:author="Giorgi Kobaladze" w:date="2020-07-17T06:40:00Z">
                    <w:r w:rsidR="00790D5B">
                      <w:rPr>
                        <w:rFonts w:ascii="Times New Roman" w:eastAsia="Times New Roman" w:hAnsi="Times New Roman" w:cs="Times New Roman"/>
                        <w:color w:val="000000"/>
                        <w:shd w:val="clear" w:color="auto" w:fill="FEFEFE"/>
                        <w:rPrChange w:id="406" w:author="Giorgi Kobaladze" w:date="2020-07-17T06:55:00Z">
                          <w:rPr>
                            <w:rFonts w:ascii="Times New Roman" w:eastAsia="Times New Roman" w:hAnsi="Times New Roman" w:cs="Times New Roman"/>
                            <w:color w:val="000000"/>
                          </w:rPr>
                        </w:rPrChange>
                      </w:rPr>
                      <w:t xml:space="preserve">EHS 2.4 – </w:t>
                    </w:r>
                  </w:ins>
                </w:sdtContent>
              </w:sdt>
              <w:customXmlInsRangeStart w:id="407" w:author="Giorgi Kobaladze" w:date="2020-07-17T06:40:00Z"/>
              <w:sdt>
                <w:sdtPr>
                  <w:tag w:val="goog_rdk_250"/>
                  <w:id w:val="24366940"/>
                </w:sdtPr>
                <w:sdtContent>
                  <w:customXmlInsRangeEnd w:id="407"/>
                  <w:ins w:id="408" w:author="Giorgi Kobaladze" w:date="2020-07-17T06:40:00Z">
                    <w:r w:rsidR="00790D5B">
                      <w:rPr>
                        <w:rFonts w:ascii="Times New Roman" w:eastAsia="Times New Roman" w:hAnsi="Times New Roman" w:cs="Times New Roman"/>
                        <w:color w:val="000000"/>
                        <w:shd w:val="clear" w:color="auto" w:fill="FEFEFE"/>
                        <w:rPrChange w:id="409" w:author="Giorgi Kobaladze" w:date="2020-07-17T06:55:00Z">
                          <w:rPr>
                            <w:rFonts w:ascii="Times New Roman" w:eastAsia="Times New Roman" w:hAnsi="Times New Roman" w:cs="Times New Roman"/>
                            <w:color w:val="000000"/>
                          </w:rPr>
                        </w:rPrChange>
                      </w:rPr>
                      <w:t>Chemical Hazards</w:t>
                    </w:r>
                  </w:ins>
                  <w:customXmlInsRangeStart w:id="410" w:author="Giorgi Kobaladze" w:date="2020-07-17T06:40:00Z"/>
                </w:sdtContent>
              </w:sdt>
              <w:customXmlInsRangeEnd w:id="410"/>
              <w:customXmlInsRangeStart w:id="411" w:author="Giorgi Kobaladze" w:date="2020-07-17T06:40:00Z"/>
              <w:sdt>
                <w:sdtPr>
                  <w:tag w:val="goog_rdk_251"/>
                  <w:id w:val="1607461391"/>
                </w:sdtPr>
                <w:sdtContent>
                  <w:customXmlInsRangeEnd w:id="411"/>
                  <w:ins w:id="412" w:author="Giorgi Kobaladze" w:date="2020-07-17T06:40:00Z">
                    <w:r w:rsidR="00790D5B">
                      <w:rPr>
                        <w:rFonts w:ascii="Times New Roman" w:eastAsia="Times New Roman" w:hAnsi="Times New Roman" w:cs="Times New Roman"/>
                        <w:color w:val="000000"/>
                        <w:shd w:val="clear" w:color="auto" w:fill="FEFEFE"/>
                        <w:rPrChange w:id="413" w:author="Giorgi Kobaladze" w:date="2020-07-17T06:55:00Z">
                          <w:rPr>
                            <w:rFonts w:ascii="Times New Roman" w:eastAsia="Times New Roman" w:hAnsi="Times New Roman" w:cs="Times New Roman"/>
                            <w:color w:val="000000"/>
                          </w:rPr>
                        </w:rPrChange>
                      </w:rPr>
                      <w:t>;</w:t>
                    </w:r>
                  </w:ins>
                  <w:customXmlInsRangeStart w:id="414" w:author="Giorgi Kobaladze" w:date="2020-07-17T06:40:00Z"/>
                </w:sdtContent>
              </w:sdt>
              <w:customXmlInsRangeEnd w:id="414"/>
            </w:sdtContent>
          </w:sdt>
          <w:sdt>
            <w:sdtPr>
              <w:tag w:val="goog_rdk_252"/>
              <w:id w:val="326184527"/>
            </w:sdtPr>
            <w:sdtContent>
              <w:r w:rsidR="00790D5B">
                <w:rPr>
                  <w:rFonts w:ascii="Times New Roman" w:eastAsia="Times New Roman" w:hAnsi="Times New Roman" w:cs="Times New Roman"/>
                  <w:color w:val="000000"/>
                  <w:shd w:val="clear" w:color="auto" w:fill="FEFEFE"/>
                  <w:rPrChange w:id="415" w:author="Giorgi Kobaladze" w:date="2020-07-17T06:55:00Z">
                    <w:rPr>
                      <w:rFonts w:ascii="Times New Roman" w:eastAsia="Times New Roman" w:hAnsi="Times New Roman" w:cs="Times New Roman"/>
                      <w:color w:val="000000"/>
                    </w:rPr>
                  </w:rPrChange>
                </w:rPr>
                <w:t xml:space="preserve"> </w:t>
              </w:r>
            </w:sdtContent>
          </w:sdt>
        </w:p>
      </w:sdtContent>
    </w:sdt>
    <w:sdt>
      <w:sdtPr>
        <w:tag w:val="goog_rdk_257"/>
        <w:id w:val="-1460341153"/>
      </w:sdtPr>
      <w:sdtContent>
        <w:p w14:paraId="00000138" w14:textId="77777777" w:rsidR="009F1887" w:rsidRPr="009F1887" w:rsidRDefault="00EC15FD">
          <w:pPr>
            <w:keepLines/>
            <w:pBdr>
              <w:top w:val="nil"/>
              <w:left w:val="nil"/>
              <w:bottom w:val="nil"/>
              <w:right w:val="nil"/>
              <w:between w:val="nil"/>
            </w:pBdr>
            <w:spacing w:after="0"/>
            <w:ind w:left="360"/>
            <w:rPr>
              <w:ins w:id="416" w:author="Giorgi Kobaladze" w:date="2020-07-17T06:40:00Z"/>
              <w:rFonts w:ascii="Times New Roman" w:eastAsia="Times New Roman" w:hAnsi="Times New Roman" w:cs="Times New Roman"/>
              <w:color w:val="000000"/>
              <w:shd w:val="clear" w:color="auto" w:fill="FEFEFE"/>
              <w:rPrChange w:id="417" w:author="Giorgi Kobaladze" w:date="2020-07-17T06:55:00Z">
                <w:rPr>
                  <w:ins w:id="418" w:author="Giorgi Kobaladze" w:date="2020-07-17T06:40:00Z"/>
                  <w:rFonts w:ascii="Times New Roman" w:eastAsia="Times New Roman" w:hAnsi="Times New Roman" w:cs="Times New Roman"/>
                  <w:color w:val="000000"/>
                </w:rPr>
              </w:rPrChange>
            </w:rPr>
          </w:pPr>
          <w:sdt>
            <w:sdtPr>
              <w:tag w:val="goog_rdk_254"/>
              <w:id w:val="-956094333"/>
            </w:sdtPr>
            <w:sdtContent>
              <w:r w:rsidR="00790D5B">
                <w:rPr>
                  <w:rFonts w:ascii="Times New Roman" w:eastAsia="Times New Roman" w:hAnsi="Times New Roman" w:cs="Times New Roman"/>
                  <w:color w:val="000000"/>
                  <w:shd w:val="clear" w:color="auto" w:fill="FEFEFE"/>
                  <w:rPrChange w:id="419" w:author="Giorgi Kobaladze" w:date="2020-07-17T06:55:00Z">
                    <w:rPr>
                      <w:rFonts w:ascii="Times New Roman" w:eastAsia="Times New Roman" w:hAnsi="Times New Roman" w:cs="Times New Roman"/>
                      <w:color w:val="000000"/>
                    </w:rPr>
                  </w:rPrChange>
                </w:rPr>
                <w:t xml:space="preserve">EHS 2.5 – Biological Hazards; </w:t>
              </w:r>
            </w:sdtContent>
          </w:sdt>
          <w:sdt>
            <w:sdtPr>
              <w:tag w:val="goog_rdk_255"/>
              <w:id w:val="-1423640101"/>
            </w:sdtPr>
            <w:sdtContent>
              <w:sdt>
                <w:sdtPr>
                  <w:tag w:val="goog_rdk_256"/>
                  <w:id w:val="1730887460"/>
                </w:sdtPr>
                <w:sdtContent/>
              </w:sdt>
            </w:sdtContent>
          </w:sdt>
        </w:p>
      </w:sdtContent>
    </w:sdt>
    <w:sdt>
      <w:sdtPr>
        <w:tag w:val="goog_rdk_262"/>
        <w:id w:val="43419745"/>
      </w:sdtPr>
      <w:sdtContent>
        <w:p w14:paraId="00000139" w14:textId="77777777" w:rsidR="009F1887" w:rsidRPr="009F1887" w:rsidRDefault="00EC15FD">
          <w:pPr>
            <w:keepLines/>
            <w:spacing w:after="0"/>
            <w:ind w:left="360"/>
            <w:rPr>
              <w:rFonts w:ascii="Times New Roman" w:eastAsia="Times New Roman" w:hAnsi="Times New Roman" w:cs="Times New Roman"/>
              <w:color w:val="000000"/>
              <w:shd w:val="clear" w:color="auto" w:fill="FEFEFE"/>
              <w:rPrChange w:id="420" w:author="Giorgi Kobaladze" w:date="2020-07-17T06:55:00Z">
                <w:rPr>
                  <w:rFonts w:ascii="Times New Roman" w:eastAsia="Times New Roman" w:hAnsi="Times New Roman" w:cs="Times New Roman"/>
                  <w:color w:val="000000"/>
                </w:rPr>
              </w:rPrChange>
            </w:rPr>
            <w:pPrChange w:id="421" w:author="Giorgi Kobaladze" w:date="2020-07-17T06:40:00Z">
              <w:pPr>
                <w:keepLines/>
                <w:pBdr>
                  <w:top w:val="nil"/>
                  <w:left w:val="nil"/>
                  <w:bottom w:val="nil"/>
                  <w:right w:val="nil"/>
                  <w:between w:val="nil"/>
                </w:pBdr>
                <w:spacing w:after="0"/>
                <w:ind w:left="360"/>
              </w:pPr>
            </w:pPrChange>
          </w:pPr>
          <w:sdt>
            <w:sdtPr>
              <w:tag w:val="goog_rdk_258"/>
              <w:id w:val="1582017255"/>
            </w:sdtPr>
            <w:sdtContent>
              <w:sdt>
                <w:sdtPr>
                  <w:tag w:val="goog_rdk_259"/>
                  <w:id w:val="416444456"/>
                </w:sdtPr>
                <w:sdtContent>
                  <w:ins w:id="422" w:author="Giorgi Kobaladze" w:date="2020-07-17T06:40:00Z">
                    <w:r w:rsidR="00790D5B">
                      <w:rPr>
                        <w:rFonts w:ascii="Times New Roman" w:eastAsia="Times New Roman" w:hAnsi="Times New Roman" w:cs="Times New Roman"/>
                        <w:color w:val="000000"/>
                        <w:shd w:val="clear" w:color="auto" w:fill="FEFEFE"/>
                        <w:rPrChange w:id="423" w:author="Giorgi Kobaladze" w:date="2020-07-17T06:55:00Z">
                          <w:rPr>
                            <w:rFonts w:ascii="Times New Roman" w:eastAsia="Times New Roman" w:hAnsi="Times New Roman" w:cs="Times New Roman"/>
                            <w:color w:val="000000"/>
                          </w:rPr>
                        </w:rPrChange>
                      </w:rPr>
                      <w:t xml:space="preserve">EHS 2.6 – </w:t>
                    </w:r>
                  </w:ins>
                </w:sdtContent>
              </w:sdt>
              <w:customXmlInsRangeStart w:id="424" w:author="Giorgi Kobaladze" w:date="2020-07-17T06:40:00Z"/>
              <w:sdt>
                <w:sdtPr>
                  <w:tag w:val="goog_rdk_260"/>
                  <w:id w:val="-129093041"/>
                </w:sdtPr>
                <w:sdtContent>
                  <w:customXmlInsRangeEnd w:id="424"/>
                  <w:ins w:id="425" w:author="Giorgi Kobaladze" w:date="2020-07-17T06:40:00Z">
                    <w:r w:rsidR="00790D5B">
                      <w:rPr>
                        <w:rFonts w:ascii="Times New Roman" w:eastAsia="Times New Roman" w:hAnsi="Times New Roman" w:cs="Times New Roman"/>
                        <w:color w:val="000000"/>
                        <w:shd w:val="clear" w:color="auto" w:fill="FEFEFE"/>
                        <w:rPrChange w:id="426" w:author="Giorgi Kobaladze" w:date="2020-07-17T06:55:00Z">
                          <w:rPr>
                            <w:rFonts w:ascii="Times New Roman" w:eastAsia="Times New Roman" w:hAnsi="Times New Roman" w:cs="Times New Roman"/>
                            <w:color w:val="000000"/>
                          </w:rPr>
                        </w:rPrChange>
                      </w:rPr>
                      <w:t>Radiological Hazards;</w:t>
                    </w:r>
                  </w:ins>
                  <w:customXmlInsRangeStart w:id="427" w:author="Giorgi Kobaladze" w:date="2020-07-17T06:40:00Z"/>
                </w:sdtContent>
              </w:sdt>
              <w:customXmlInsRangeEnd w:id="427"/>
            </w:sdtContent>
          </w:sdt>
          <w:sdt>
            <w:sdtPr>
              <w:tag w:val="goog_rdk_261"/>
              <w:id w:val="-1055232307"/>
            </w:sdtPr>
            <w:sdtContent/>
          </w:sdt>
        </w:p>
      </w:sdtContent>
    </w:sdt>
    <w:sdt>
      <w:sdtPr>
        <w:tag w:val="goog_rdk_264"/>
        <w:id w:val="490060585"/>
      </w:sdtPr>
      <w:sdtContent>
        <w:p w14:paraId="0000013A" w14:textId="77777777" w:rsidR="009F1887" w:rsidRPr="009F1887" w:rsidRDefault="00EC15FD">
          <w:pPr>
            <w:pBdr>
              <w:top w:val="nil"/>
              <w:left w:val="nil"/>
              <w:bottom w:val="nil"/>
              <w:right w:val="nil"/>
              <w:between w:val="nil"/>
            </w:pBdr>
            <w:spacing w:after="0"/>
            <w:ind w:left="360"/>
            <w:rPr>
              <w:rFonts w:ascii="Times New Roman" w:eastAsia="Times New Roman" w:hAnsi="Times New Roman" w:cs="Times New Roman"/>
              <w:color w:val="000000"/>
              <w:shd w:val="clear" w:color="auto" w:fill="FEFEFE"/>
              <w:rPrChange w:id="428" w:author="Giorgi Kobaladze" w:date="2020-07-17T06:55:00Z">
                <w:rPr>
                  <w:rFonts w:ascii="Times New Roman" w:eastAsia="Times New Roman" w:hAnsi="Times New Roman" w:cs="Times New Roman"/>
                  <w:color w:val="000000"/>
                </w:rPr>
              </w:rPrChange>
            </w:rPr>
          </w:pPr>
          <w:sdt>
            <w:sdtPr>
              <w:tag w:val="goog_rdk_263"/>
              <w:id w:val="1022814858"/>
            </w:sdtPr>
            <w:sdtContent>
              <w:r w:rsidR="00790D5B">
                <w:rPr>
                  <w:rFonts w:ascii="Times New Roman" w:eastAsia="Times New Roman" w:hAnsi="Times New Roman" w:cs="Times New Roman"/>
                  <w:color w:val="000000"/>
                  <w:shd w:val="clear" w:color="auto" w:fill="FEFEFE"/>
                  <w:rPrChange w:id="429" w:author="Giorgi Kobaladze" w:date="2020-07-17T06:55:00Z">
                    <w:rPr>
                      <w:rFonts w:ascii="Times New Roman" w:eastAsia="Times New Roman" w:hAnsi="Times New Roman" w:cs="Times New Roman"/>
                      <w:color w:val="000000"/>
                    </w:rPr>
                  </w:rPrChange>
                </w:rPr>
                <w:t xml:space="preserve">EHS 2.7 – Personal Protective Equipment; </w:t>
              </w:r>
            </w:sdtContent>
          </w:sdt>
        </w:p>
      </w:sdtContent>
    </w:sdt>
    <w:sdt>
      <w:sdtPr>
        <w:tag w:val="goog_rdk_266"/>
        <w:id w:val="1086031430"/>
      </w:sdtPr>
      <w:sdtContent>
        <w:p w14:paraId="0000013B" w14:textId="77777777" w:rsidR="009F1887" w:rsidRPr="009F1887" w:rsidRDefault="00EC15FD">
          <w:pPr>
            <w:pBdr>
              <w:top w:val="nil"/>
              <w:left w:val="nil"/>
              <w:bottom w:val="nil"/>
              <w:right w:val="nil"/>
              <w:between w:val="nil"/>
            </w:pBdr>
            <w:spacing w:after="0"/>
            <w:ind w:left="360"/>
            <w:rPr>
              <w:rFonts w:ascii="Times New Roman" w:eastAsia="Times New Roman" w:hAnsi="Times New Roman" w:cs="Times New Roman"/>
              <w:color w:val="000000"/>
              <w:shd w:val="clear" w:color="auto" w:fill="FEFEFE"/>
              <w:rPrChange w:id="430" w:author="Giorgi Kobaladze" w:date="2020-07-17T06:55:00Z">
                <w:rPr>
                  <w:rFonts w:ascii="Times New Roman" w:eastAsia="Times New Roman" w:hAnsi="Times New Roman" w:cs="Times New Roman"/>
                  <w:color w:val="000000"/>
                </w:rPr>
              </w:rPrChange>
            </w:rPr>
          </w:pPr>
          <w:sdt>
            <w:sdtPr>
              <w:tag w:val="goog_rdk_265"/>
              <w:id w:val="1922753983"/>
            </w:sdtPr>
            <w:sdtContent>
              <w:r w:rsidR="00790D5B">
                <w:rPr>
                  <w:rFonts w:ascii="Times New Roman" w:eastAsia="Times New Roman" w:hAnsi="Times New Roman" w:cs="Times New Roman"/>
                  <w:color w:val="000000"/>
                  <w:shd w:val="clear" w:color="auto" w:fill="FEFEFE"/>
                  <w:rPrChange w:id="431" w:author="Giorgi Kobaladze" w:date="2020-07-17T06:55:00Z">
                    <w:rPr>
                      <w:rFonts w:ascii="Times New Roman" w:eastAsia="Times New Roman" w:hAnsi="Times New Roman" w:cs="Times New Roman"/>
                      <w:color w:val="000000"/>
                    </w:rPr>
                  </w:rPrChange>
                </w:rPr>
                <w:t xml:space="preserve">EHS 2.8 – Special Hazard Environments; </w:t>
              </w:r>
            </w:sdtContent>
          </w:sdt>
        </w:p>
      </w:sdtContent>
    </w:sdt>
    <w:sdt>
      <w:sdtPr>
        <w:tag w:val="goog_rdk_271"/>
        <w:id w:val="972949348"/>
      </w:sdtPr>
      <w:sdtContent>
        <w:p w14:paraId="0000013C" w14:textId="77777777" w:rsidR="009F1887" w:rsidRPr="009F1887" w:rsidRDefault="00EC15FD">
          <w:pPr>
            <w:pBdr>
              <w:top w:val="nil"/>
              <w:left w:val="nil"/>
              <w:bottom w:val="nil"/>
              <w:right w:val="nil"/>
              <w:between w:val="nil"/>
            </w:pBdr>
            <w:spacing w:after="0"/>
            <w:ind w:left="360"/>
            <w:rPr>
              <w:rFonts w:ascii="Times New Roman" w:eastAsia="Times New Roman" w:hAnsi="Times New Roman" w:cs="Times New Roman"/>
              <w:color w:val="000000"/>
              <w:shd w:val="clear" w:color="auto" w:fill="FEFEFE"/>
              <w:rPrChange w:id="432" w:author="Giorgi Kobaladze" w:date="2020-07-17T06:55:00Z">
                <w:rPr>
                  <w:rFonts w:ascii="Times New Roman" w:eastAsia="Times New Roman" w:hAnsi="Times New Roman" w:cs="Times New Roman"/>
                  <w:color w:val="000000"/>
                </w:rPr>
              </w:rPrChange>
            </w:rPr>
          </w:pPr>
          <w:sdt>
            <w:sdtPr>
              <w:tag w:val="goog_rdk_267"/>
              <w:id w:val="-2063404454"/>
            </w:sdtPr>
            <w:sdtContent>
              <w:r w:rsidR="00790D5B">
                <w:rPr>
                  <w:rFonts w:ascii="Times New Roman" w:eastAsia="Times New Roman" w:hAnsi="Times New Roman" w:cs="Times New Roman"/>
                  <w:color w:val="000000"/>
                  <w:shd w:val="clear" w:color="auto" w:fill="FEFEFE"/>
                  <w:rPrChange w:id="433" w:author="Giorgi Kobaladze" w:date="2020-07-17T06:55:00Z">
                    <w:rPr>
                      <w:rFonts w:ascii="Times New Roman" w:eastAsia="Times New Roman" w:hAnsi="Times New Roman" w:cs="Times New Roman"/>
                      <w:color w:val="000000"/>
                    </w:rPr>
                  </w:rPrChange>
                </w:rPr>
                <w:t>EHS 3.5 – Transportation of Hazardous Materials;</w:t>
              </w:r>
            </w:sdtContent>
          </w:sdt>
          <w:sdt>
            <w:sdtPr>
              <w:tag w:val="goog_rdk_268"/>
              <w:id w:val="1611402522"/>
            </w:sdtPr>
            <w:sdtContent>
              <w:sdt>
                <w:sdtPr>
                  <w:tag w:val="goog_rdk_269"/>
                  <w:id w:val="-626390839"/>
                </w:sdtPr>
                <w:sdtContent>
                  <w:del w:id="434" w:author="Giorgi Kobaladze" w:date="2020-07-17T06:40:00Z">
                    <w:r w:rsidR="00790D5B">
                      <w:rPr>
                        <w:rFonts w:ascii="Times New Roman" w:eastAsia="Times New Roman" w:hAnsi="Times New Roman" w:cs="Times New Roman"/>
                        <w:color w:val="000000"/>
                        <w:shd w:val="clear" w:color="auto" w:fill="FEFEFE"/>
                        <w:rPrChange w:id="435" w:author="Giorgi Kobaladze" w:date="2020-07-17T06:55:00Z">
                          <w:rPr>
                            <w:rFonts w:ascii="Times New Roman" w:eastAsia="Times New Roman" w:hAnsi="Times New Roman" w:cs="Times New Roman"/>
                            <w:color w:val="000000"/>
                          </w:rPr>
                        </w:rPrChange>
                      </w:rPr>
                      <w:delText xml:space="preserve"> and</w:delText>
                    </w:r>
                  </w:del>
                </w:sdtContent>
              </w:sdt>
            </w:sdtContent>
          </w:sdt>
          <w:sdt>
            <w:sdtPr>
              <w:tag w:val="goog_rdk_270"/>
              <w:id w:val="-611134472"/>
            </w:sdtPr>
            <w:sdtContent/>
          </w:sdt>
        </w:p>
      </w:sdtContent>
    </w:sdt>
    <w:sdt>
      <w:sdtPr>
        <w:tag w:val="goog_rdk_275"/>
        <w:id w:val="-1748874542"/>
      </w:sdtPr>
      <w:sdtContent>
        <w:p w14:paraId="0000013D" w14:textId="77777777" w:rsidR="009F1887" w:rsidRPr="009F1887" w:rsidRDefault="00EC15FD">
          <w:pPr>
            <w:pBdr>
              <w:top w:val="nil"/>
              <w:left w:val="nil"/>
              <w:bottom w:val="nil"/>
              <w:right w:val="nil"/>
              <w:between w:val="nil"/>
            </w:pBdr>
            <w:spacing w:after="240" w:line="240" w:lineRule="auto"/>
            <w:ind w:left="360"/>
            <w:rPr>
              <w:ins w:id="436" w:author="Giorgi Kobaladze" w:date="2020-07-17T06:41:00Z"/>
              <w:rFonts w:ascii="Times New Roman" w:eastAsia="Times New Roman" w:hAnsi="Times New Roman" w:cs="Times New Roman"/>
              <w:color w:val="000000"/>
              <w:shd w:val="clear" w:color="auto" w:fill="FEFEFE"/>
              <w:rPrChange w:id="437" w:author="Giorgi Kobaladze" w:date="2020-07-17T06:55:00Z">
                <w:rPr>
                  <w:ins w:id="438" w:author="Giorgi Kobaladze" w:date="2020-07-17T06:41:00Z"/>
                  <w:rFonts w:ascii="Times New Roman" w:eastAsia="Times New Roman" w:hAnsi="Times New Roman" w:cs="Times New Roman"/>
                  <w:color w:val="000000"/>
                </w:rPr>
              </w:rPrChange>
            </w:rPr>
          </w:pPr>
          <w:sdt>
            <w:sdtPr>
              <w:tag w:val="goog_rdk_272"/>
              <w:id w:val="-575045709"/>
            </w:sdtPr>
            <w:sdtContent>
              <w:r w:rsidR="00790D5B">
                <w:rPr>
                  <w:rFonts w:ascii="Times New Roman" w:eastAsia="Times New Roman" w:hAnsi="Times New Roman" w:cs="Times New Roman"/>
                  <w:color w:val="000000"/>
                  <w:shd w:val="clear" w:color="auto" w:fill="FEFEFE"/>
                  <w:rPrChange w:id="439" w:author="Giorgi Kobaladze" w:date="2020-07-17T06:55:00Z">
                    <w:rPr>
                      <w:rFonts w:ascii="Times New Roman" w:eastAsia="Times New Roman" w:hAnsi="Times New Roman" w:cs="Times New Roman"/>
                      <w:color w:val="000000"/>
                    </w:rPr>
                  </w:rPrChange>
                </w:rPr>
                <w:t>EHS 3.6 – Disease Prevention</w:t>
              </w:r>
            </w:sdtContent>
          </w:sdt>
          <w:sdt>
            <w:sdtPr>
              <w:tag w:val="goog_rdk_273"/>
              <w:id w:val="-640649445"/>
            </w:sdtPr>
            <w:sdtContent>
              <w:sdt>
                <w:sdtPr>
                  <w:tag w:val="goog_rdk_274"/>
                  <w:id w:val="1197654608"/>
                </w:sdtPr>
                <w:sdtContent>
                  <w:ins w:id="440" w:author="Giorgi Kobaladze" w:date="2020-07-17T06:41:00Z">
                    <w:r w:rsidR="00790D5B">
                      <w:rPr>
                        <w:rFonts w:ascii="Times New Roman" w:eastAsia="Times New Roman" w:hAnsi="Times New Roman" w:cs="Times New Roman"/>
                        <w:color w:val="000000"/>
                        <w:shd w:val="clear" w:color="auto" w:fill="FEFEFE"/>
                        <w:rPrChange w:id="441" w:author="Giorgi Kobaladze" w:date="2020-07-17T06:55:00Z">
                          <w:rPr>
                            <w:rFonts w:ascii="Times New Roman" w:eastAsia="Times New Roman" w:hAnsi="Times New Roman" w:cs="Times New Roman"/>
                            <w:color w:val="000000"/>
                          </w:rPr>
                        </w:rPrChange>
                      </w:rPr>
                      <w:t>;</w:t>
                    </w:r>
                  </w:ins>
                </w:sdtContent>
              </w:sdt>
            </w:sdtContent>
          </w:sdt>
        </w:p>
      </w:sdtContent>
    </w:sdt>
    <w:sdt>
      <w:sdtPr>
        <w:tag w:val="goog_rdk_281"/>
        <w:id w:val="-366683774"/>
      </w:sdtPr>
      <w:sdtContent>
        <w:p w14:paraId="0000013E" w14:textId="77777777" w:rsidR="009F1887" w:rsidRPr="009F1887" w:rsidRDefault="00EC15FD">
          <w:pPr>
            <w:pBdr>
              <w:top w:val="nil"/>
              <w:left w:val="nil"/>
              <w:bottom w:val="nil"/>
              <w:right w:val="nil"/>
              <w:between w:val="nil"/>
            </w:pBdr>
            <w:spacing w:after="240" w:line="240" w:lineRule="auto"/>
            <w:ind w:left="360"/>
            <w:rPr>
              <w:ins w:id="442" w:author="Giorgi Kobaladze" w:date="2020-07-17T06:41:00Z"/>
              <w:rFonts w:ascii="Times New Roman" w:eastAsia="Times New Roman" w:hAnsi="Times New Roman" w:cs="Times New Roman"/>
              <w:color w:val="000000"/>
              <w:shd w:val="clear" w:color="auto" w:fill="FEFEFE"/>
              <w:rPrChange w:id="443" w:author="Giorgi Kobaladze" w:date="2020-07-17T06:55:00Z">
                <w:rPr>
                  <w:ins w:id="444" w:author="Giorgi Kobaladze" w:date="2020-07-17T06:41:00Z"/>
                  <w:rFonts w:ascii="Times New Roman" w:eastAsia="Times New Roman" w:hAnsi="Times New Roman" w:cs="Times New Roman"/>
                  <w:color w:val="000000"/>
                </w:rPr>
              </w:rPrChange>
            </w:rPr>
          </w:pPr>
          <w:sdt>
            <w:sdtPr>
              <w:tag w:val="goog_rdk_276"/>
              <w:id w:val="1772897046"/>
            </w:sdtPr>
            <w:sdtContent>
              <w:sdt>
                <w:sdtPr>
                  <w:tag w:val="goog_rdk_277"/>
                  <w:id w:val="-1425645851"/>
                </w:sdtPr>
                <w:sdtContent>
                  <w:ins w:id="445" w:author="Giorgi Kobaladze" w:date="2020-07-17T06:41:00Z">
                    <w:r w:rsidR="00790D5B">
                      <w:rPr>
                        <w:rFonts w:ascii="Times New Roman" w:eastAsia="Times New Roman" w:hAnsi="Times New Roman" w:cs="Times New Roman"/>
                        <w:color w:val="000000"/>
                        <w:shd w:val="clear" w:color="auto" w:fill="FEFEFE"/>
                        <w:rPrChange w:id="446" w:author="Giorgi Kobaladze" w:date="2020-07-17T06:55:00Z">
                          <w:rPr>
                            <w:rFonts w:ascii="Times New Roman" w:eastAsia="Times New Roman" w:hAnsi="Times New Roman" w:cs="Times New Roman"/>
                            <w:color w:val="000000"/>
                          </w:rPr>
                        </w:rPrChange>
                      </w:rPr>
                      <w:t>EHS</w:t>
                    </w:r>
                  </w:ins>
                </w:sdtContent>
              </w:sdt>
              <w:customXmlInsRangeStart w:id="447" w:author="Giorgi Kobaladze" w:date="2020-07-17T06:41:00Z"/>
              <w:sdt>
                <w:sdtPr>
                  <w:tag w:val="goog_rdk_278"/>
                  <w:id w:val="-559168673"/>
                </w:sdtPr>
                <w:sdtContent>
                  <w:customXmlInsRangeEnd w:id="447"/>
                  <w:ins w:id="448" w:author="Giorgi Kobaladze" w:date="2020-07-17T06:41:00Z">
                    <w:r w:rsidR="00790D5B">
                      <w:rPr>
                        <w:rFonts w:ascii="Times New Roman" w:eastAsia="Times New Roman" w:hAnsi="Times New Roman" w:cs="Times New Roman"/>
                        <w:color w:val="000000"/>
                        <w:shd w:val="clear" w:color="auto" w:fill="FEFEFE"/>
                        <w:rPrChange w:id="449" w:author="Giorgi Kobaladze" w:date="2020-07-17T06:55:00Z">
                          <w:rPr>
                            <w:rFonts w:ascii="Times New Roman" w:eastAsia="Times New Roman" w:hAnsi="Times New Roman" w:cs="Times New Roman"/>
                            <w:color w:val="000000"/>
                          </w:rPr>
                        </w:rPrChange>
                      </w:rPr>
                      <w:t xml:space="preserve"> 4.1 </w:t>
                    </w:r>
                  </w:ins>
                  <w:customXmlInsRangeStart w:id="450" w:author="Giorgi Kobaladze" w:date="2020-07-17T06:41:00Z"/>
                </w:sdtContent>
              </w:sdt>
              <w:customXmlInsRangeEnd w:id="450"/>
              <w:customXmlInsRangeStart w:id="451" w:author="Giorgi Kobaladze" w:date="2020-07-17T06:41:00Z"/>
              <w:sdt>
                <w:sdtPr>
                  <w:tag w:val="goog_rdk_279"/>
                  <w:id w:val="-2130769962"/>
                </w:sdtPr>
                <w:sdtContent>
                  <w:customXmlInsRangeEnd w:id="451"/>
                  <w:ins w:id="452" w:author="Giorgi Kobaladze" w:date="2020-07-17T06:41:00Z">
                    <w:r w:rsidR="00790D5B">
                      <w:rPr>
                        <w:rFonts w:ascii="Times New Roman" w:eastAsia="Times New Roman" w:hAnsi="Times New Roman" w:cs="Times New Roman"/>
                        <w:color w:val="000000"/>
                        <w:shd w:val="clear" w:color="auto" w:fill="FEFEFE"/>
                        <w:rPrChange w:id="453" w:author="Giorgi Kobaladze" w:date="2020-07-17T06:55:00Z">
                          <w:rPr>
                            <w:rFonts w:ascii="Times New Roman" w:eastAsia="Times New Roman" w:hAnsi="Times New Roman" w:cs="Times New Roman"/>
                            <w:color w:val="000000"/>
                          </w:rPr>
                        </w:rPrChange>
                      </w:rPr>
                      <w:t xml:space="preserve">– </w:t>
                    </w:r>
                  </w:ins>
                  <w:customXmlInsRangeStart w:id="454" w:author="Giorgi Kobaladze" w:date="2020-07-17T06:41:00Z"/>
                </w:sdtContent>
              </w:sdt>
              <w:customXmlInsRangeEnd w:id="454"/>
              <w:customXmlInsRangeStart w:id="455" w:author="Giorgi Kobaladze" w:date="2020-07-17T06:41:00Z"/>
              <w:sdt>
                <w:sdtPr>
                  <w:tag w:val="goog_rdk_280"/>
                  <w:id w:val="-213886735"/>
                </w:sdtPr>
                <w:sdtContent>
                  <w:customXmlInsRangeEnd w:id="455"/>
                  <w:ins w:id="456" w:author="Giorgi Kobaladze" w:date="2020-07-17T06:41:00Z">
                    <w:r w:rsidR="00790D5B">
                      <w:rPr>
                        <w:rFonts w:ascii="Times New Roman" w:eastAsia="Times New Roman" w:hAnsi="Times New Roman" w:cs="Times New Roman"/>
                        <w:color w:val="000000"/>
                        <w:shd w:val="clear" w:color="auto" w:fill="FEFEFE"/>
                        <w:rPrChange w:id="457" w:author="Giorgi Kobaladze" w:date="2020-07-17T06:55:00Z">
                          <w:rPr>
                            <w:rFonts w:ascii="Times New Roman" w:eastAsia="Times New Roman" w:hAnsi="Times New Roman" w:cs="Times New Roman"/>
                            <w:color w:val="000000"/>
                          </w:rPr>
                        </w:rPrChange>
                      </w:rPr>
                      <w:t>Environment; and</w:t>
                    </w:r>
                  </w:ins>
                  <w:customXmlInsRangeStart w:id="458" w:author="Giorgi Kobaladze" w:date="2020-07-17T06:41:00Z"/>
                </w:sdtContent>
              </w:sdt>
              <w:customXmlInsRangeEnd w:id="458"/>
            </w:sdtContent>
          </w:sdt>
        </w:p>
      </w:sdtContent>
    </w:sdt>
    <w:sdt>
      <w:sdtPr>
        <w:tag w:val="goog_rdk_287"/>
        <w:id w:val="-834984494"/>
      </w:sdtPr>
      <w:sdtContent>
        <w:p w14:paraId="0000013F" w14:textId="77777777" w:rsidR="009F1887" w:rsidRPr="009F1887" w:rsidRDefault="00EC15FD">
          <w:pPr>
            <w:spacing w:before="240" w:after="240" w:line="240" w:lineRule="auto"/>
            <w:ind w:left="360"/>
            <w:rPr>
              <w:ins w:id="459" w:author="Giorgi Kobaladze" w:date="2020-07-17T06:41:00Z"/>
              <w:rFonts w:ascii="Times New Roman" w:eastAsia="Times New Roman" w:hAnsi="Times New Roman" w:cs="Times New Roman"/>
              <w:color w:val="000000"/>
              <w:shd w:val="clear" w:color="auto" w:fill="FEFEFE"/>
              <w:rPrChange w:id="460" w:author="Giorgi Kobaladze" w:date="2020-07-17T06:55:00Z">
                <w:rPr>
                  <w:ins w:id="461" w:author="Giorgi Kobaladze" w:date="2020-07-17T06:41:00Z"/>
                  <w:rFonts w:ascii="Times New Roman" w:eastAsia="Times New Roman" w:hAnsi="Times New Roman" w:cs="Times New Roman"/>
                  <w:color w:val="000000"/>
                </w:rPr>
              </w:rPrChange>
            </w:rPr>
          </w:pPr>
          <w:sdt>
            <w:sdtPr>
              <w:tag w:val="goog_rdk_282"/>
              <w:id w:val="-887188249"/>
            </w:sdtPr>
            <w:sdtContent>
              <w:sdt>
                <w:sdtPr>
                  <w:tag w:val="goog_rdk_283"/>
                  <w:id w:val="-903670213"/>
                </w:sdtPr>
                <w:sdtContent>
                  <w:ins w:id="462" w:author="Giorgi Kobaladze" w:date="2020-07-17T06:41:00Z">
                    <w:r w:rsidR="00790D5B">
                      <w:rPr>
                        <w:rFonts w:ascii="Times New Roman" w:eastAsia="Times New Roman" w:hAnsi="Times New Roman" w:cs="Times New Roman"/>
                        <w:color w:val="000000"/>
                        <w:shd w:val="clear" w:color="auto" w:fill="FEFEFE"/>
                        <w:rPrChange w:id="463" w:author="Giorgi Kobaladze" w:date="2020-07-17T06:55:00Z">
                          <w:rPr>
                            <w:rFonts w:ascii="Times New Roman" w:eastAsia="Times New Roman" w:hAnsi="Times New Roman" w:cs="Times New Roman"/>
                            <w:color w:val="000000"/>
                          </w:rPr>
                        </w:rPrChange>
                      </w:rPr>
                      <w:t>EHS</w:t>
                    </w:r>
                  </w:ins>
                </w:sdtContent>
              </w:sdt>
              <w:customXmlInsRangeStart w:id="464" w:author="Giorgi Kobaladze" w:date="2020-07-17T06:41:00Z"/>
              <w:sdt>
                <w:sdtPr>
                  <w:tag w:val="goog_rdk_284"/>
                  <w:id w:val="721569857"/>
                </w:sdtPr>
                <w:sdtContent>
                  <w:customXmlInsRangeEnd w:id="464"/>
                  <w:ins w:id="465" w:author="Giorgi Kobaladze" w:date="2020-07-17T06:41:00Z">
                    <w:r w:rsidR="00790D5B">
                      <w:rPr>
                        <w:rFonts w:ascii="Times New Roman" w:eastAsia="Times New Roman" w:hAnsi="Times New Roman" w:cs="Times New Roman"/>
                        <w:color w:val="000000"/>
                        <w:shd w:val="clear" w:color="auto" w:fill="FEFEFE"/>
                        <w:rPrChange w:id="466" w:author="Giorgi Kobaladze" w:date="2020-07-17T06:55:00Z">
                          <w:rPr>
                            <w:rFonts w:ascii="Times New Roman" w:eastAsia="Times New Roman" w:hAnsi="Times New Roman" w:cs="Times New Roman"/>
                            <w:color w:val="000000"/>
                          </w:rPr>
                        </w:rPrChange>
                      </w:rPr>
                      <w:t xml:space="preserve"> 4.2 </w:t>
                    </w:r>
                  </w:ins>
                  <w:customXmlInsRangeStart w:id="467" w:author="Giorgi Kobaladze" w:date="2020-07-17T06:41:00Z"/>
                </w:sdtContent>
              </w:sdt>
              <w:customXmlInsRangeEnd w:id="467"/>
              <w:customXmlInsRangeStart w:id="468" w:author="Giorgi Kobaladze" w:date="2020-07-17T06:41:00Z"/>
              <w:sdt>
                <w:sdtPr>
                  <w:tag w:val="goog_rdk_285"/>
                  <w:id w:val="724109801"/>
                </w:sdtPr>
                <w:sdtContent>
                  <w:customXmlInsRangeEnd w:id="468"/>
                  <w:ins w:id="469" w:author="Giorgi Kobaladze" w:date="2020-07-17T06:41:00Z">
                    <w:r w:rsidR="00790D5B">
                      <w:rPr>
                        <w:rFonts w:ascii="Times New Roman" w:eastAsia="Times New Roman" w:hAnsi="Times New Roman" w:cs="Times New Roman"/>
                        <w:color w:val="000000"/>
                        <w:shd w:val="clear" w:color="auto" w:fill="FEFEFE"/>
                        <w:rPrChange w:id="470" w:author="Giorgi Kobaladze" w:date="2020-07-17T06:55:00Z">
                          <w:rPr>
                            <w:rFonts w:ascii="Times New Roman" w:eastAsia="Times New Roman" w:hAnsi="Times New Roman" w:cs="Times New Roman"/>
                            <w:color w:val="000000"/>
                          </w:rPr>
                        </w:rPrChange>
                      </w:rPr>
                      <w:t>–</w:t>
                    </w:r>
                  </w:ins>
                  <w:customXmlInsRangeStart w:id="471" w:author="Giorgi Kobaladze" w:date="2020-07-17T06:41:00Z"/>
                </w:sdtContent>
              </w:sdt>
              <w:customXmlInsRangeEnd w:id="471"/>
              <w:customXmlInsRangeStart w:id="472" w:author="Giorgi Kobaladze" w:date="2020-07-17T06:41:00Z"/>
              <w:sdt>
                <w:sdtPr>
                  <w:tag w:val="goog_rdk_286"/>
                  <w:id w:val="2140915577"/>
                </w:sdtPr>
                <w:sdtContent>
                  <w:customXmlInsRangeEnd w:id="472"/>
                  <w:ins w:id="473" w:author="Giorgi Kobaladze" w:date="2020-07-17T06:41:00Z">
                    <w:r w:rsidR="00790D5B">
                      <w:rPr>
                        <w:rFonts w:ascii="Times New Roman" w:eastAsia="Times New Roman" w:hAnsi="Times New Roman" w:cs="Times New Roman"/>
                        <w:color w:val="000000"/>
                        <w:shd w:val="clear" w:color="auto" w:fill="FEFEFE"/>
                        <w:rPrChange w:id="474" w:author="Giorgi Kobaladze" w:date="2020-07-17T06:55:00Z">
                          <w:rPr>
                            <w:rFonts w:ascii="Times New Roman" w:eastAsia="Times New Roman" w:hAnsi="Times New Roman" w:cs="Times New Roman"/>
                            <w:color w:val="000000"/>
                          </w:rPr>
                        </w:rPrChange>
                      </w:rPr>
                      <w:t xml:space="preserve"> Occupational Health and Safety</w:t>
                    </w:r>
                  </w:ins>
                  <w:customXmlInsRangeStart w:id="475" w:author="Giorgi Kobaladze" w:date="2020-07-17T06:41:00Z"/>
                </w:sdtContent>
              </w:sdt>
              <w:customXmlInsRangeEnd w:id="475"/>
            </w:sdtContent>
          </w:sdt>
        </w:p>
      </w:sdtContent>
    </w:sdt>
    <w:p w14:paraId="00000140" w14:textId="77777777" w:rsidR="009F1887" w:rsidRDefault="00EC15FD">
      <w:pPr>
        <w:pBdr>
          <w:top w:val="nil"/>
          <w:left w:val="nil"/>
          <w:bottom w:val="nil"/>
          <w:right w:val="nil"/>
          <w:between w:val="nil"/>
        </w:pBdr>
        <w:spacing w:after="240"/>
        <w:ind w:left="360"/>
        <w:rPr>
          <w:rFonts w:ascii="Times New Roman" w:eastAsia="Times New Roman" w:hAnsi="Times New Roman" w:cs="Times New Roman"/>
          <w:color w:val="000000"/>
        </w:rPr>
      </w:pPr>
      <w:sdt>
        <w:sdtPr>
          <w:tag w:val="goog_rdk_289"/>
          <w:id w:val="1254167049"/>
        </w:sdtPr>
        <w:sdtContent>
          <w:del w:id="476" w:author="Giorgi Kobaladze" w:date="2020-07-17T06:41:00Z">
            <w:r w:rsidR="00790D5B">
              <w:rPr>
                <w:rFonts w:ascii="Times New Roman" w:eastAsia="Times New Roman" w:hAnsi="Times New Roman" w:cs="Times New Roman"/>
                <w:color w:val="000000"/>
              </w:rPr>
              <w:delText>.</w:delText>
            </w:r>
          </w:del>
        </w:sdtContent>
      </w:sdt>
      <w:r w:rsidR="00790D5B">
        <w:rPr>
          <w:rFonts w:ascii="Times New Roman" w:eastAsia="Times New Roman" w:hAnsi="Times New Roman" w:cs="Times New Roman"/>
          <w:color w:val="000000"/>
        </w:rPr>
        <w:t xml:space="preserve"> </w:t>
      </w:r>
    </w:p>
    <w:p w14:paraId="00000141" w14:textId="77777777" w:rsidR="009F1887" w:rsidRDefault="00790D5B">
      <w:p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Additionally, the EHS for Health Care Facilities</w:t>
      </w:r>
      <w:r>
        <w:rPr>
          <w:rFonts w:ascii="Times New Roman" w:eastAsia="Times New Roman" w:hAnsi="Times New Roman" w:cs="Times New Roman"/>
          <w:color w:val="000000"/>
          <w:vertAlign w:val="superscript"/>
        </w:rPr>
        <w:footnoteReference w:id="17"/>
      </w:r>
      <w:r>
        <w:rPr>
          <w:rFonts w:ascii="Times New Roman" w:eastAsia="Times New Roman" w:hAnsi="Times New Roman" w:cs="Times New Roman"/>
          <w:color w:val="000000"/>
        </w:rPr>
        <w:t xml:space="preserve"> also applies to the project. The EHS Guidelines for Health Care Facilities include information relevant to the management of EHS issues associated with health care facilities, including general hospitals and small inpatient primary care hospitals, as well as outpatient, </w:t>
      </w:r>
      <w:r>
        <w:rPr>
          <w:rFonts w:ascii="Times New Roman" w:eastAsia="Times New Roman" w:hAnsi="Times New Roman" w:cs="Times New Roman"/>
          <w:color w:val="000000"/>
        </w:rPr>
        <w:lastRenderedPageBreak/>
        <w:t>assisted living, and hospice facilities. Ancillary facilities may include medical laboratories and research facilities, mortuary centers, blood banks and collection services.</w:t>
      </w:r>
    </w:p>
    <w:p w14:paraId="00000142" w14:textId="77777777" w:rsidR="009F1887" w:rsidRDefault="00790D5B">
      <w:pPr>
        <w:pStyle w:val="Heading2"/>
        <w:numPr>
          <w:ilvl w:val="1"/>
          <w:numId w:val="66"/>
        </w:numPr>
        <w:spacing w:after="240"/>
        <w:ind w:left="360"/>
      </w:pPr>
      <w:r>
        <w:t xml:space="preserve">WHO Guidance </w:t>
      </w:r>
    </w:p>
    <w:p w14:paraId="00000143" w14:textId="77777777" w:rsidR="009F1887" w:rsidRDefault="00790D5B">
      <w:pPr>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The WHO is maintaining a website specific to the COVID-19 pandemic with up-to-date country and technical guidance</w:t>
      </w:r>
      <w:r>
        <w:rPr>
          <w:rFonts w:ascii="Times New Roman" w:eastAsia="Times New Roman" w:hAnsi="Times New Roman" w:cs="Times New Roman"/>
          <w:color w:val="000000"/>
          <w:vertAlign w:val="superscript"/>
        </w:rPr>
        <w:footnoteReference w:id="18"/>
      </w:r>
      <w:r>
        <w:rPr>
          <w:rFonts w:ascii="Times New Roman" w:eastAsia="Times New Roman" w:hAnsi="Times New Roman" w:cs="Times New Roman"/>
          <w:color w:val="000000"/>
        </w:rPr>
        <w:t xml:space="preserve">. As the situation remains fluid it is critical that those managing both the national response as well as specific health care facilities and programs keep abreast of guidance provided by the WHO and other international best practice. Current technical guidance provided by the WHO includes the following topics, which are being updated regularly: </w:t>
      </w:r>
    </w:p>
    <w:p w14:paraId="00000144"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Critical preparedness, readiness and response for COVID-19;</w:t>
      </w:r>
    </w:p>
    <w:p w14:paraId="00000145"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Surveillance, rapid response teams, and case investigation;</w:t>
      </w:r>
    </w:p>
    <w:p w14:paraId="00000146"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 xml:space="preserve">National laboratories; </w:t>
      </w:r>
    </w:p>
    <w:p w14:paraId="00000147"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 xml:space="preserve">Country-level coordination, planning, and monitoring; </w:t>
      </w:r>
    </w:p>
    <w:p w14:paraId="00000148"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Clinical care;</w:t>
      </w:r>
    </w:p>
    <w:p w14:paraId="00000149"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Infection prevention and control/WASH</w:t>
      </w:r>
      <w:r>
        <w:rPr>
          <w:rFonts w:ascii="Times New Roman" w:eastAsia="Times New Roman" w:hAnsi="Times New Roman" w:cs="Times New Roman"/>
          <w:vertAlign w:val="superscript"/>
        </w:rPr>
        <w:footnoteReference w:id="19"/>
      </w:r>
    </w:p>
    <w:p w14:paraId="0000014A"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Serology and early investigation protocols;</w:t>
      </w:r>
    </w:p>
    <w:p w14:paraId="0000014B"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 xml:space="preserve">Essential resource planning; </w:t>
      </w:r>
    </w:p>
    <w:p w14:paraId="0000014C"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Guidance for schools, workplaces &amp; institutions;</w:t>
      </w:r>
    </w:p>
    <w:p w14:paraId="0000014D"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Risk communication and community engagement;</w:t>
      </w:r>
    </w:p>
    <w:p w14:paraId="0000014E"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Virus origin / reducing animal-human transmission;</w:t>
      </w:r>
    </w:p>
    <w:p w14:paraId="0000014F"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 xml:space="preserve">Points of entry / mass gatherings; </w:t>
      </w:r>
    </w:p>
    <w:p w14:paraId="00000150"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Naming the coronavirus disease (COVID-19);</w:t>
      </w:r>
    </w:p>
    <w:p w14:paraId="00000151" w14:textId="77777777" w:rsidR="009F1887" w:rsidRDefault="00790D5B">
      <w:pPr>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Humanitarian operations, camps, refugees/migrants in non-camps and other fragile settings;</w:t>
      </w:r>
    </w:p>
    <w:p w14:paraId="00000152" w14:textId="77777777" w:rsidR="009F1887" w:rsidRDefault="00790D5B">
      <w:pPr>
        <w:keepNext/>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 xml:space="preserve">Health workers; and </w:t>
      </w:r>
    </w:p>
    <w:p w14:paraId="00000153" w14:textId="77777777" w:rsidR="009F1887" w:rsidRDefault="00790D5B">
      <w:pPr>
        <w:keepNext/>
        <w:widowControl w:val="0"/>
        <w:numPr>
          <w:ilvl w:val="1"/>
          <w:numId w:val="21"/>
        </w:numPr>
        <w:spacing w:after="0"/>
        <w:jc w:val="both"/>
        <w:rPr>
          <w:rFonts w:ascii="Times New Roman" w:eastAsia="Times New Roman" w:hAnsi="Times New Roman" w:cs="Times New Roman"/>
        </w:rPr>
      </w:pPr>
      <w:r>
        <w:rPr>
          <w:rFonts w:ascii="Times New Roman" w:eastAsia="Times New Roman" w:hAnsi="Times New Roman" w:cs="Times New Roman"/>
        </w:rPr>
        <w:t xml:space="preserve">Maintaining Essential Health Services and Systems. </w:t>
      </w:r>
    </w:p>
    <w:p w14:paraId="00000154"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Besides the guidance addressed to governments and states, WHO also recommends to the public and citizens safety measures at home, public areas and workplaces. Those recommendations include application of PPE, sanitizers and suggested  safe behavior and healthy lifestyle.</w:t>
      </w:r>
    </w:p>
    <w:p w14:paraId="00000155"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Prior to the above-mentioned rapidly drafted guidance and recommendations by WHO influenced by introduction of novel coronaviruses in the world, the organization already had well-designed guidelines and standard requirements related to pandemic situations and communicable disease preventions. Those to immediate relevance to Emergency COVID-19 Response Project include but are not limited to: </w:t>
      </w:r>
    </w:p>
    <w:p w14:paraId="00000156" w14:textId="77777777" w:rsidR="009F1887" w:rsidRDefault="00790D5B">
      <w:pPr>
        <w:numPr>
          <w:ilvl w:val="0"/>
          <w:numId w:val="62"/>
        </w:numPr>
        <w:pBdr>
          <w:top w:val="nil"/>
          <w:left w:val="nil"/>
          <w:bottom w:val="nil"/>
          <w:right w:val="nil"/>
          <w:between w:val="nil"/>
        </w:pBdr>
        <w:spacing w:after="0"/>
        <w:ind w:left="900"/>
        <w:jc w:val="both"/>
        <w:rPr>
          <w:rFonts w:ascii="Times New Roman" w:eastAsia="Times New Roman" w:hAnsi="Times New Roman" w:cs="Times New Roman"/>
          <w:color w:val="000000"/>
        </w:rPr>
      </w:pPr>
      <w:r>
        <w:rPr>
          <w:rFonts w:ascii="Times New Roman" w:eastAsia="Times New Roman" w:hAnsi="Times New Roman" w:cs="Times New Roman"/>
          <w:color w:val="000000"/>
        </w:rPr>
        <w:t>Safe management of waste from health-care activities</w:t>
      </w:r>
      <w:r>
        <w:rPr>
          <w:rFonts w:ascii="Times New Roman" w:eastAsia="Times New Roman" w:hAnsi="Times New Roman" w:cs="Times New Roman"/>
          <w:color w:val="000000"/>
          <w:vertAlign w:val="superscript"/>
        </w:rPr>
        <w:footnoteReference w:id="20"/>
      </w:r>
      <w:r>
        <w:rPr>
          <w:rFonts w:ascii="Times New Roman" w:eastAsia="Times New Roman" w:hAnsi="Times New Roman" w:cs="Times New Roman"/>
          <w:color w:val="000000"/>
        </w:rPr>
        <w:t xml:space="preserve">. The guideline is designed for state, medical facilities, health-care personnel and waste carrier to advise them the safe, sustainable and affordable management of health-care waste.  The guideline aims of reducing health problems and eliminating potential risks to people’s health, health-care services inevitably create </w:t>
      </w:r>
      <w:r>
        <w:rPr>
          <w:rFonts w:ascii="Times New Roman" w:eastAsia="Times New Roman" w:hAnsi="Times New Roman" w:cs="Times New Roman"/>
          <w:color w:val="000000"/>
        </w:rPr>
        <w:lastRenderedPageBreak/>
        <w:t>waste that may itself be hazardous to health. The waste produced in the course of health-care activities carries a higher potential for infection and injury than any other type of waste. Wherever waste is generated, safe and reliable methods for its handling are therefore essential. Inadequate and inappropriate handling of health-care waste may have serious public health consequences and a significant impact on the environment. Sound management of health-care waste is thus a crucial component of environmental health protection.</w:t>
      </w:r>
    </w:p>
    <w:p w14:paraId="00000157" w14:textId="77777777" w:rsidR="009F1887" w:rsidRDefault="00790D5B">
      <w:pPr>
        <w:numPr>
          <w:ilvl w:val="0"/>
          <w:numId w:val="62"/>
        </w:numPr>
        <w:pBdr>
          <w:top w:val="nil"/>
          <w:left w:val="nil"/>
          <w:bottom w:val="nil"/>
          <w:right w:val="nil"/>
          <w:between w:val="nil"/>
        </w:pBdr>
        <w:spacing w:after="0"/>
        <w:ind w:left="900"/>
        <w:jc w:val="both"/>
        <w:rPr>
          <w:rFonts w:ascii="Times New Roman" w:eastAsia="Times New Roman" w:hAnsi="Times New Roman" w:cs="Times New Roman"/>
          <w:color w:val="000000"/>
        </w:rPr>
      </w:pPr>
      <w:r>
        <w:rPr>
          <w:rFonts w:ascii="Times New Roman" w:eastAsia="Times New Roman" w:hAnsi="Times New Roman" w:cs="Times New Roman"/>
          <w:color w:val="000000"/>
        </w:rPr>
        <w:t>Infection prevention and control (IPC)</w:t>
      </w:r>
      <w:r>
        <w:rPr>
          <w:rFonts w:ascii="Times New Roman" w:eastAsia="Times New Roman" w:hAnsi="Times New Roman" w:cs="Times New Roman"/>
          <w:color w:val="000000"/>
          <w:vertAlign w:val="superscript"/>
        </w:rPr>
        <w:footnoteReference w:id="21"/>
      </w:r>
      <w:r>
        <w:rPr>
          <w:rFonts w:ascii="Times New Roman" w:eastAsia="Times New Roman" w:hAnsi="Times New Roman" w:cs="Times New Roman"/>
          <w:color w:val="000000"/>
        </w:rPr>
        <w:t xml:space="preserve">. </w:t>
      </w:r>
      <w:r>
        <w:rPr>
          <w:rFonts w:ascii="Times New Roman" w:eastAsia="Times New Roman" w:hAnsi="Times New Roman" w:cs="Times New Roman"/>
          <w:color w:val="333333"/>
          <w:highlight w:val="white"/>
        </w:rPr>
        <w:t xml:space="preserve">IPC related standards and guidelines give direction to followers on the effective application of IPC programs, the safe use of invasive devices, the right infrastructure and resources to achieve good IPC standards, including actions such as hand hygiene at the point of care. Based on systematic reviews, as well as presenting practical country examples, expert consensus guidelines developed by WHO are inherently linked to focusing on implementation and mean that countries and health facilities can prioritize practical actions for improvement. The group of IPC guideline by WHO includes guidelines on: </w:t>
      </w:r>
    </w:p>
    <w:p w14:paraId="00000158" w14:textId="77777777" w:rsidR="009F1887" w:rsidRDefault="00790D5B">
      <w:pPr>
        <w:numPr>
          <w:ilvl w:val="2"/>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333333"/>
          <w:highlight w:val="white"/>
        </w:rPr>
        <w:t>Hand hygiene</w:t>
      </w:r>
    </w:p>
    <w:p w14:paraId="00000159" w14:textId="77777777" w:rsidR="009F1887" w:rsidRDefault="00790D5B">
      <w:pPr>
        <w:numPr>
          <w:ilvl w:val="2"/>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333333"/>
          <w:highlight w:val="white"/>
        </w:rPr>
        <w:t>Injection safety</w:t>
      </w:r>
    </w:p>
    <w:p w14:paraId="0000015A" w14:textId="77777777" w:rsidR="009F1887" w:rsidRDefault="00EC15FD">
      <w:pPr>
        <w:numPr>
          <w:ilvl w:val="2"/>
          <w:numId w:val="19"/>
        </w:numPr>
        <w:pBdr>
          <w:top w:val="nil"/>
          <w:left w:val="nil"/>
          <w:bottom w:val="nil"/>
          <w:right w:val="nil"/>
          <w:between w:val="nil"/>
        </w:pBdr>
        <w:spacing w:after="0"/>
        <w:jc w:val="both"/>
        <w:rPr>
          <w:rFonts w:ascii="Times New Roman" w:eastAsia="Times New Roman" w:hAnsi="Times New Roman" w:cs="Times New Roman"/>
          <w:color w:val="000000"/>
        </w:rPr>
      </w:pPr>
      <w:sdt>
        <w:sdtPr>
          <w:tag w:val="goog_rdk_291"/>
          <w:id w:val="1495537247"/>
        </w:sdtPr>
        <w:sdtContent>
          <w:ins w:id="478" w:author="Giorgi Kobaladze" w:date="2020-07-17T06:41:00Z">
            <w:r w:rsidR="00790D5B">
              <w:rPr>
                <w:rFonts w:ascii="Times New Roman" w:eastAsia="Times New Roman" w:hAnsi="Times New Roman" w:cs="Times New Roman"/>
                <w:color w:val="000000"/>
              </w:rPr>
              <w:t>Antimicrobial</w:t>
            </w:r>
          </w:ins>
        </w:sdtContent>
      </w:sdt>
      <w:sdt>
        <w:sdtPr>
          <w:tag w:val="goog_rdk_292"/>
          <w:id w:val="2123189990"/>
        </w:sdtPr>
        <w:sdtContent>
          <w:del w:id="479" w:author="Giorgi Kobaladze" w:date="2020-07-17T06:41:00Z">
            <w:r w:rsidR="00790D5B">
              <w:rPr>
                <w:rFonts w:ascii="Times New Roman" w:eastAsia="Times New Roman" w:hAnsi="Times New Roman" w:cs="Times New Roman"/>
                <w:color w:val="333333"/>
                <w:highlight w:val="white"/>
              </w:rPr>
              <w:delText>Antimicrobal</w:delText>
            </w:r>
          </w:del>
        </w:sdtContent>
      </w:sdt>
      <w:r w:rsidR="00790D5B">
        <w:rPr>
          <w:rFonts w:ascii="Times New Roman" w:eastAsia="Times New Roman" w:hAnsi="Times New Roman" w:cs="Times New Roman"/>
          <w:color w:val="333333"/>
          <w:highlight w:val="white"/>
        </w:rPr>
        <w:t xml:space="preserve"> resistance (AMR)</w:t>
      </w:r>
    </w:p>
    <w:p w14:paraId="0000015B" w14:textId="77777777" w:rsidR="009F1887" w:rsidRDefault="00790D5B">
      <w:pPr>
        <w:numPr>
          <w:ilvl w:val="2"/>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333333"/>
          <w:highlight w:val="white"/>
        </w:rPr>
        <w:t>Surgical site infections</w:t>
      </w:r>
    </w:p>
    <w:p w14:paraId="0000015C" w14:textId="77777777" w:rsidR="009F1887" w:rsidRDefault="00790D5B">
      <w:pPr>
        <w:numPr>
          <w:ilvl w:val="2"/>
          <w:numId w:val="2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333333"/>
          <w:highlight w:val="white"/>
        </w:rPr>
        <w:t>Core components of IPC and other interventions</w:t>
      </w:r>
    </w:p>
    <w:p w14:paraId="0000015D" w14:textId="77777777" w:rsidR="009F1887" w:rsidRDefault="00790D5B">
      <w:pPr>
        <w:numPr>
          <w:ilvl w:val="0"/>
          <w:numId w:val="62"/>
        </w:numPr>
        <w:pBdr>
          <w:top w:val="nil"/>
          <w:left w:val="nil"/>
          <w:bottom w:val="nil"/>
          <w:right w:val="nil"/>
          <w:between w:val="nil"/>
        </w:pBdr>
        <w:spacing w:after="240"/>
        <w:ind w:left="9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Personal Protection Equipment. </w:t>
      </w:r>
      <w:r>
        <w:rPr>
          <w:rFonts w:ascii="Times New Roman" w:eastAsia="Times New Roman" w:hAnsi="Times New Roman" w:cs="Times New Roman"/>
          <w:color w:val="333333"/>
          <w:highlight w:val="white"/>
        </w:rPr>
        <w:t>PPE is most important in preventing transmission of the communicable diseases not only in hospitals, but also various activities linked to health-care activities: cleaning, waste management and community care related to the outbreak and pandemic situation. In that regards, WHO sets standard requirements and recommendations on PPE</w:t>
      </w:r>
      <w:r>
        <w:rPr>
          <w:rFonts w:ascii="Times New Roman" w:eastAsia="Times New Roman" w:hAnsi="Times New Roman" w:cs="Times New Roman"/>
          <w:color w:val="333333"/>
          <w:highlight w:val="white"/>
          <w:vertAlign w:val="superscript"/>
        </w:rPr>
        <w:footnoteReference w:id="22"/>
      </w:r>
      <w:r>
        <w:rPr>
          <w:rFonts w:ascii="Times New Roman" w:eastAsia="Times New Roman" w:hAnsi="Times New Roman" w:cs="Times New Roman"/>
          <w:color w:val="333333"/>
          <w:highlight w:val="white"/>
        </w:rPr>
        <w:t xml:space="preserve"> and on rational use</w:t>
      </w:r>
      <w:r>
        <w:rPr>
          <w:rFonts w:ascii="Times New Roman" w:eastAsia="Times New Roman" w:hAnsi="Times New Roman" w:cs="Times New Roman"/>
          <w:color w:val="333333"/>
          <w:highlight w:val="white"/>
          <w:vertAlign w:val="superscript"/>
        </w:rPr>
        <w:footnoteReference w:id="23"/>
      </w:r>
      <w:r>
        <w:rPr>
          <w:rFonts w:ascii="Times New Roman" w:eastAsia="Times New Roman" w:hAnsi="Times New Roman" w:cs="Times New Roman"/>
          <w:color w:val="333333"/>
          <w:highlight w:val="white"/>
        </w:rPr>
        <w:t xml:space="preserve"> of it.</w:t>
      </w:r>
    </w:p>
    <w:p w14:paraId="0000015E" w14:textId="77777777" w:rsidR="009F1887" w:rsidRDefault="009F1887">
      <w:pPr>
        <w:spacing w:after="240"/>
        <w:jc w:val="both"/>
        <w:rPr>
          <w:rFonts w:ascii="Times New Roman" w:eastAsia="Times New Roman" w:hAnsi="Times New Roman" w:cs="Times New Roman"/>
        </w:rPr>
      </w:pPr>
    </w:p>
    <w:p w14:paraId="0000015F" w14:textId="77777777" w:rsidR="009F1887" w:rsidRDefault="00790D5B">
      <w:pPr>
        <w:pStyle w:val="Heading2"/>
        <w:numPr>
          <w:ilvl w:val="0"/>
          <w:numId w:val="66"/>
        </w:numPr>
        <w:spacing w:after="240"/>
      </w:pPr>
      <w:bookmarkStart w:id="480" w:name="_heading=h.26in1rg" w:colFirst="0" w:colLast="0"/>
      <w:bookmarkEnd w:id="480"/>
      <w:r>
        <w:t>Environmental and Social Baseline</w:t>
      </w:r>
    </w:p>
    <w:p w14:paraId="00000160" w14:textId="77777777" w:rsidR="009F1887" w:rsidRDefault="00790D5B">
      <w:pPr>
        <w:pStyle w:val="Heading2"/>
        <w:numPr>
          <w:ilvl w:val="1"/>
          <w:numId w:val="66"/>
        </w:numPr>
        <w:spacing w:after="240"/>
        <w:ind w:left="360"/>
      </w:pPr>
      <w:bookmarkStart w:id="481" w:name="_heading=h.lnxbz9" w:colFirst="0" w:colLast="0"/>
      <w:bookmarkEnd w:id="481"/>
      <w:r>
        <w:t>Environmental Characteristics</w:t>
      </w:r>
    </w:p>
    <w:p w14:paraId="00000161"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Physical Environment</w:t>
      </w:r>
      <w:r>
        <w:rPr>
          <w:rFonts w:ascii="Times New Roman" w:eastAsia="Times New Roman" w:hAnsi="Times New Roman" w:cs="Times New Roman"/>
        </w:rPr>
        <w:t xml:space="preserve">. Georgia is located in the South Caucasus and is one of the Black Sea riparian nation-states. It borders with Armenia, Azerbaijan, Russian Federation and Turkey. Georgia comprises of the following administrative units: capital city of Tbilisi, Autonomous Republic of Adjara, Autonomous Republic of Abkhazeti, and nine regions - Kvemo Kartli, Shida Kartli, Kakheti, Mtskheta-Mtianeti, Samtskhe-Javakheti, Imereti, Guria, Samegrelo-Zemo Svaneti, and Racha-Lechkhumi and Kvemo Svaneti. All project activities will be implemented countrywide, excluding the Autonomous Republic of Abkhazeti </w:t>
      </w:r>
      <w:r>
        <w:rPr>
          <w:rFonts w:ascii="Times New Roman" w:eastAsia="Times New Roman" w:hAnsi="Times New Roman" w:cs="Times New Roman"/>
        </w:rPr>
        <w:lastRenderedPageBreak/>
        <w:t xml:space="preserve">and several municipalities of Shida Kartli (South Ossetia) currently not under de facto jurisdiction of the national government of Georgia. </w:t>
      </w:r>
    </w:p>
    <w:p w14:paraId="00000162" w14:textId="77777777" w:rsidR="009F1887" w:rsidRDefault="00790D5B">
      <w:pPr>
        <w:spacing w:after="240"/>
        <w:jc w:val="center"/>
        <w:rPr>
          <w:rFonts w:ascii="Times New Roman" w:eastAsia="Times New Roman" w:hAnsi="Times New Roman" w:cs="Times New Roman"/>
        </w:rPr>
      </w:pPr>
      <w:r>
        <w:rPr>
          <w:noProof/>
        </w:rPr>
        <w:drawing>
          <wp:inline distT="0" distB="0" distL="0" distR="0">
            <wp:extent cx="5087983" cy="376108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087983" cy="3761084"/>
                    </a:xfrm>
                    <a:prstGeom prst="rect">
                      <a:avLst/>
                    </a:prstGeom>
                    <a:ln/>
                  </pic:spPr>
                </pic:pic>
              </a:graphicData>
            </a:graphic>
          </wp:inline>
        </w:drawing>
      </w:r>
    </w:p>
    <w:p w14:paraId="00000163" w14:textId="77777777" w:rsidR="009F1887" w:rsidRDefault="00790D5B">
      <w:pPr>
        <w:spacing w:after="24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Figure 1. Map of Georgia</w:t>
      </w:r>
    </w:p>
    <w:p w14:paraId="00000164"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b/>
          <w:i/>
          <w:color w:val="000000"/>
        </w:rPr>
        <w:t>Air and Climate.</w:t>
      </w:r>
      <w:r>
        <w:rPr>
          <w:rFonts w:ascii="Times New Roman" w:eastAsia="Times New Roman" w:hAnsi="Times New Roman" w:cs="Times New Roman"/>
          <w:color w:val="000000"/>
        </w:rPr>
        <w:t xml:space="preserve"> Georgia encompasses a variety of climate zones from humid subtropical to permafrost, distributed along an east/west axis separated by the Likhi Mountains in the center of the country. The Caucasian barrier protects Georgia from cold air intrusions from the north, while the country is open to the constant influence of warm, moist air from the Black Sea. Western Georgia has a humid subtropical, </w:t>
      </w:r>
      <w:hyperlink r:id="rId22">
        <w:r>
          <w:rPr>
            <w:rFonts w:ascii="Times New Roman" w:eastAsia="Times New Roman" w:hAnsi="Times New Roman" w:cs="Times New Roman"/>
            <w:color w:val="000000"/>
          </w:rPr>
          <w:t>maritime climate</w:t>
        </w:r>
      </w:hyperlink>
      <w:r>
        <w:rPr>
          <w:rFonts w:ascii="Times New Roman" w:eastAsia="Times New Roman" w:hAnsi="Times New Roman" w:cs="Times New Roman"/>
          <w:color w:val="000000"/>
        </w:rPr>
        <w:t>, while eastern Georgia has a range of climate varying from moderately humid to a dry subtropical type. Generally speaking, the climate in the west, modulated by the Black Sea, is characterized by mild winters, hot summers and heavy precipitation; average annual temperatures are between 9°–14°C, with precipitation ranging from 900–2300 mm. The Alpine mountain regions are generally colder: average temperatures are between 2°–10°C and annual precipitation ranges between 1200–2000 mm. The climate in the east includes the eastern plains, with a dry subtropical climate in the lowlands, where 400–600 mm of rainfall per year and annual temperatures range between 11°–13°C.</w:t>
      </w:r>
      <w:r>
        <w:rPr>
          <w:rFonts w:ascii="Times New Roman" w:eastAsia="Times New Roman" w:hAnsi="Times New Roman" w:cs="Times New Roman"/>
          <w:color w:val="000000"/>
        </w:rPr>
        <w:br/>
      </w:r>
    </w:p>
    <w:sdt>
      <w:sdtPr>
        <w:tag w:val="goog_rdk_317"/>
        <w:id w:val="163987836"/>
      </w:sdtPr>
      <w:sdtContent>
        <w:p w14:paraId="00000165" w14:textId="77777777" w:rsidR="009F1887" w:rsidRPr="009F1887" w:rsidRDefault="00EC15FD">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hd w:val="clear" w:color="auto" w:fill="FEFEFE"/>
              <w:rPrChange w:id="482" w:author="Giorgi Kobaladze" w:date="2020-07-17T06:43:00Z">
                <w:rPr>
                  <w:rFonts w:ascii="Times New Roman" w:eastAsia="Times New Roman" w:hAnsi="Times New Roman" w:cs="Times New Roman"/>
                  <w:color w:val="000000"/>
                </w:rPr>
              </w:rPrChange>
            </w:rPr>
          </w:pPr>
          <w:sdt>
            <w:sdtPr>
              <w:tag w:val="goog_rdk_293"/>
              <w:id w:val="126442102"/>
            </w:sdtPr>
            <w:sdtContent>
              <w:r w:rsidR="00790D5B">
                <w:rPr>
                  <w:rFonts w:ascii="Times New Roman" w:eastAsia="Times New Roman" w:hAnsi="Times New Roman" w:cs="Times New Roman"/>
                  <w:color w:val="000000"/>
                  <w:shd w:val="clear" w:color="auto" w:fill="FEFEFE"/>
                  <w:rPrChange w:id="483" w:author="Giorgi Kobaladze" w:date="2020-07-17T06:43:00Z">
                    <w:rPr>
                      <w:rFonts w:ascii="Times New Roman" w:eastAsia="Times New Roman" w:hAnsi="Times New Roman" w:cs="Times New Roman"/>
                      <w:color w:val="000000"/>
                    </w:rPr>
                  </w:rPrChange>
                </w:rPr>
                <w:t xml:space="preserve">There also are marked elevation zones. The Kolkheti Lowland, for example, has a subtropical character up to about </w:t>
              </w:r>
            </w:sdtContent>
          </w:sdt>
          <w:sdt>
            <w:sdtPr>
              <w:tag w:val="goog_rdk_294"/>
              <w:id w:val="1684087965"/>
            </w:sdtPr>
            <w:sdtContent>
              <w:sdt>
                <w:sdtPr>
                  <w:tag w:val="goog_rdk_295"/>
                  <w:id w:val="-1023007090"/>
                </w:sdtPr>
                <w:sdtContent>
                  <w:ins w:id="484" w:author="Giorgi Kobaladze" w:date="2020-07-17T06:42:00Z">
                    <w:r w:rsidR="00790D5B">
                      <w:rPr>
                        <w:rFonts w:ascii="Times New Roman" w:eastAsia="Times New Roman" w:hAnsi="Times New Roman" w:cs="Times New Roman"/>
                        <w:color w:val="000000"/>
                        <w:shd w:val="clear" w:color="auto" w:fill="FEFEFE"/>
                        <w:rPrChange w:id="485" w:author="Giorgi Kobaladze" w:date="2020-07-17T06:43:00Z">
                          <w:rPr>
                            <w:rFonts w:ascii="Times New Roman" w:eastAsia="Times New Roman" w:hAnsi="Times New Roman" w:cs="Times New Roman"/>
                            <w:color w:val="000000"/>
                          </w:rPr>
                        </w:rPrChange>
                      </w:rPr>
                      <w:t>500 to 600 mm</w:t>
                    </w:r>
                  </w:ins>
                </w:sdtContent>
              </w:sdt>
            </w:sdtContent>
          </w:sdt>
          <w:sdt>
            <w:sdtPr>
              <w:tag w:val="goog_rdk_296"/>
              <w:id w:val="-1976212351"/>
            </w:sdtPr>
            <w:sdtContent>
              <w:sdt>
                <w:sdtPr>
                  <w:tag w:val="goog_rdk_297"/>
                  <w:id w:val="-508137958"/>
                </w:sdtPr>
                <w:sdtContent>
                  <w:del w:id="486" w:author="Giorgi Kobaladze" w:date="2020-07-17T06:42:00Z">
                    <w:r w:rsidR="00790D5B">
                      <w:rPr>
                        <w:rFonts w:ascii="Times New Roman" w:eastAsia="Times New Roman" w:hAnsi="Times New Roman" w:cs="Times New Roman"/>
                        <w:color w:val="000000"/>
                        <w:shd w:val="clear" w:color="auto" w:fill="FEFEFE"/>
                        <w:rPrChange w:id="487" w:author="Giorgi Kobaladze" w:date="2020-07-17T06:43:00Z">
                          <w:rPr>
                            <w:rFonts w:ascii="Times New Roman" w:eastAsia="Times New Roman" w:hAnsi="Times New Roman" w:cs="Times New Roman"/>
                            <w:color w:val="000000"/>
                          </w:rPr>
                        </w:rPrChange>
                      </w:rPr>
                      <w:delText xml:space="preserve">1,600 to 2,000 </w:delText>
                    </w:r>
                  </w:del>
                </w:sdtContent>
              </w:sdt>
              <w:customXmlDelRangeStart w:id="488" w:author="Giorgi Kobaladze" w:date="2020-07-17T06:42:00Z"/>
              <w:sdt>
                <w:sdtPr>
                  <w:tag w:val="goog_rdk_298"/>
                  <w:id w:val="904721428"/>
                </w:sdtPr>
                <w:sdtContent>
                  <w:customXmlDelRangeEnd w:id="488"/>
                  <w:commentRangeStart w:id="489"/>
                  <w:customXmlDelRangeStart w:id="490" w:author="Giorgi Kobaladze" w:date="2020-07-17T06:42:00Z"/>
                </w:sdtContent>
              </w:sdt>
              <w:customXmlDelRangeEnd w:id="490"/>
              <w:customXmlDelRangeStart w:id="491" w:author="Giorgi Kobaladze" w:date="2020-07-17T06:42:00Z"/>
              <w:sdt>
                <w:sdtPr>
                  <w:tag w:val="goog_rdk_299"/>
                  <w:id w:val="221726040"/>
                </w:sdtPr>
                <w:sdtContent>
                  <w:customXmlDelRangeEnd w:id="491"/>
                  <w:del w:id="492" w:author="Giorgi Kobaladze" w:date="2020-07-17T06:42:00Z">
                    <w:r w:rsidR="00790D5B">
                      <w:rPr>
                        <w:rFonts w:ascii="Times New Roman" w:eastAsia="Times New Roman" w:hAnsi="Times New Roman" w:cs="Times New Roman"/>
                        <w:color w:val="000000"/>
                        <w:shd w:val="clear" w:color="auto" w:fill="FEFEFE"/>
                        <w:rPrChange w:id="493" w:author="Giorgi Kobaladze" w:date="2020-07-17T06:43:00Z">
                          <w:rPr>
                            <w:rFonts w:ascii="Times New Roman" w:eastAsia="Times New Roman" w:hAnsi="Times New Roman" w:cs="Times New Roman"/>
                            <w:color w:val="000000"/>
                          </w:rPr>
                        </w:rPrChange>
                      </w:rPr>
                      <w:delText>feet</w:delText>
                    </w:r>
                  </w:del>
                  <w:customXmlDelRangeStart w:id="494" w:author="Giorgi Kobaladze" w:date="2020-07-17T06:42:00Z"/>
                </w:sdtContent>
              </w:sdt>
              <w:customXmlDelRangeEnd w:id="494"/>
            </w:sdtContent>
          </w:sdt>
          <w:commentRangeEnd w:id="489"/>
          <w:r w:rsidR="00790D5B">
            <w:commentReference w:id="489"/>
          </w:r>
          <w:sdt>
            <w:sdtPr>
              <w:tag w:val="goog_rdk_300"/>
              <w:id w:val="1583103498"/>
            </w:sdtPr>
            <w:sdtContent>
              <w:r w:rsidR="00790D5B">
                <w:rPr>
                  <w:rFonts w:ascii="Times New Roman" w:eastAsia="Times New Roman" w:hAnsi="Times New Roman" w:cs="Times New Roman"/>
                  <w:color w:val="000000"/>
                  <w:shd w:val="clear" w:color="auto" w:fill="FEFEFE"/>
                  <w:rPrChange w:id="495" w:author="Giorgi Kobaladze" w:date="2020-07-17T06:43:00Z">
                    <w:rPr>
                      <w:rFonts w:ascii="Times New Roman" w:eastAsia="Times New Roman" w:hAnsi="Times New Roman" w:cs="Times New Roman"/>
                      <w:color w:val="000000"/>
                    </w:rPr>
                  </w:rPrChange>
                </w:rPr>
                <w:t xml:space="preserve">, with a zone of moist, moderately warm climate lying just above; still higher is a belt of cold, wet winters and cool summers. Above about </w:t>
              </w:r>
            </w:sdtContent>
          </w:sdt>
          <w:sdt>
            <w:sdtPr>
              <w:tag w:val="goog_rdk_301"/>
              <w:id w:val="-492183347"/>
            </w:sdtPr>
            <w:sdtContent>
              <w:sdt>
                <w:sdtPr>
                  <w:tag w:val="goog_rdk_302"/>
                  <w:id w:val="1244688149"/>
                </w:sdtPr>
                <w:sdtContent>
                  <w:ins w:id="496" w:author="Giorgi Kobaladze" w:date="2020-07-17T06:42:00Z">
                    <w:r w:rsidR="00790D5B">
                      <w:rPr>
                        <w:rFonts w:ascii="Times New Roman" w:eastAsia="Times New Roman" w:hAnsi="Times New Roman" w:cs="Times New Roman"/>
                        <w:color w:val="000000"/>
                        <w:shd w:val="clear" w:color="auto" w:fill="FEFEFE"/>
                        <w:rPrChange w:id="497" w:author="Giorgi Kobaladze" w:date="2020-07-17T06:43:00Z">
                          <w:rPr>
                            <w:rFonts w:ascii="Times New Roman" w:eastAsia="Times New Roman" w:hAnsi="Times New Roman" w:cs="Times New Roman"/>
                            <w:color w:val="000000"/>
                          </w:rPr>
                        </w:rPrChange>
                      </w:rPr>
                      <w:t>2000 to 2200m</w:t>
                    </w:r>
                  </w:ins>
                </w:sdtContent>
              </w:sdt>
            </w:sdtContent>
          </w:sdt>
          <w:sdt>
            <w:sdtPr>
              <w:tag w:val="goog_rdk_303"/>
              <w:id w:val="851851746"/>
            </w:sdtPr>
            <w:sdtContent>
              <w:sdt>
                <w:sdtPr>
                  <w:tag w:val="goog_rdk_304"/>
                  <w:id w:val="-1956235650"/>
                </w:sdtPr>
                <w:sdtContent>
                  <w:del w:id="498" w:author="Giorgi Kobaladze" w:date="2020-07-17T06:42:00Z">
                    <w:r w:rsidR="00790D5B">
                      <w:rPr>
                        <w:rFonts w:ascii="Times New Roman" w:eastAsia="Times New Roman" w:hAnsi="Times New Roman" w:cs="Times New Roman"/>
                        <w:color w:val="000000"/>
                        <w:shd w:val="clear" w:color="auto" w:fill="FEFEFE"/>
                        <w:rPrChange w:id="499" w:author="Giorgi Kobaladze" w:date="2020-07-17T06:43:00Z">
                          <w:rPr>
                            <w:rFonts w:ascii="Times New Roman" w:eastAsia="Times New Roman" w:hAnsi="Times New Roman" w:cs="Times New Roman"/>
                            <w:color w:val="000000"/>
                          </w:rPr>
                        </w:rPrChange>
                      </w:rPr>
                      <w:delText xml:space="preserve">6,600 to 7,200 </w:delText>
                    </w:r>
                  </w:del>
                </w:sdtContent>
              </w:sdt>
              <w:customXmlDelRangeStart w:id="500" w:author="Giorgi Kobaladze" w:date="2020-07-17T06:42:00Z"/>
              <w:sdt>
                <w:sdtPr>
                  <w:tag w:val="goog_rdk_305"/>
                  <w:id w:val="-1102947506"/>
                </w:sdtPr>
                <w:sdtContent>
                  <w:customXmlDelRangeEnd w:id="500"/>
                  <w:commentRangeStart w:id="501"/>
                  <w:customXmlDelRangeStart w:id="502" w:author="Giorgi Kobaladze" w:date="2020-07-17T06:42:00Z"/>
                </w:sdtContent>
              </w:sdt>
              <w:customXmlDelRangeEnd w:id="502"/>
              <w:customXmlDelRangeStart w:id="503" w:author="Giorgi Kobaladze" w:date="2020-07-17T06:42:00Z"/>
              <w:sdt>
                <w:sdtPr>
                  <w:tag w:val="goog_rdk_306"/>
                  <w:id w:val="353779783"/>
                </w:sdtPr>
                <w:sdtContent>
                  <w:customXmlDelRangeEnd w:id="503"/>
                  <w:del w:id="504" w:author="Giorgi Kobaladze" w:date="2020-07-17T06:42:00Z">
                    <w:r w:rsidR="00790D5B">
                      <w:rPr>
                        <w:rFonts w:ascii="Times New Roman" w:eastAsia="Times New Roman" w:hAnsi="Times New Roman" w:cs="Times New Roman"/>
                        <w:color w:val="000000"/>
                        <w:shd w:val="clear" w:color="auto" w:fill="FEFEFE"/>
                        <w:rPrChange w:id="505" w:author="Giorgi Kobaladze" w:date="2020-07-17T06:43:00Z">
                          <w:rPr>
                            <w:rFonts w:ascii="Times New Roman" w:eastAsia="Times New Roman" w:hAnsi="Times New Roman" w:cs="Times New Roman"/>
                            <w:color w:val="000000"/>
                          </w:rPr>
                        </w:rPrChange>
                      </w:rPr>
                      <w:delText>feet</w:delText>
                    </w:r>
                  </w:del>
                  <w:customXmlDelRangeStart w:id="506" w:author="Giorgi Kobaladze" w:date="2020-07-17T06:42:00Z"/>
                </w:sdtContent>
              </w:sdt>
              <w:customXmlDelRangeEnd w:id="506"/>
            </w:sdtContent>
          </w:sdt>
          <w:commentRangeEnd w:id="501"/>
          <w:r w:rsidR="00790D5B">
            <w:commentReference w:id="501"/>
          </w:r>
          <w:sdt>
            <w:sdtPr>
              <w:tag w:val="goog_rdk_307"/>
              <w:id w:val="1964765758"/>
            </w:sdtPr>
            <w:sdtContent>
              <w:r w:rsidR="00790D5B">
                <w:rPr>
                  <w:rFonts w:ascii="Times New Roman" w:eastAsia="Times New Roman" w:hAnsi="Times New Roman" w:cs="Times New Roman"/>
                  <w:color w:val="000000"/>
                  <w:shd w:val="clear" w:color="auto" w:fill="FEFEFE"/>
                  <w:rPrChange w:id="507" w:author="Giorgi Kobaladze" w:date="2020-07-17T06:43:00Z">
                    <w:rPr>
                      <w:rFonts w:ascii="Times New Roman" w:eastAsia="Times New Roman" w:hAnsi="Times New Roman" w:cs="Times New Roman"/>
                      <w:color w:val="000000"/>
                    </w:rPr>
                  </w:rPrChange>
                </w:rPr>
                <w:t xml:space="preserve"> there is an alpine climatic zone, lacking any true summer; above </w:t>
              </w:r>
            </w:sdtContent>
          </w:sdt>
          <w:sdt>
            <w:sdtPr>
              <w:tag w:val="goog_rdk_308"/>
              <w:id w:val="18291424"/>
            </w:sdtPr>
            <w:sdtContent>
              <w:sdt>
                <w:sdtPr>
                  <w:tag w:val="goog_rdk_309"/>
                  <w:id w:val="-1782246824"/>
                </w:sdtPr>
                <w:sdtContent>
                  <w:del w:id="508" w:author="Giorgi Kobaladze" w:date="2020-07-17T06:42:00Z">
                    <w:r w:rsidR="00790D5B">
                      <w:rPr>
                        <w:rFonts w:ascii="Times New Roman" w:eastAsia="Times New Roman" w:hAnsi="Times New Roman" w:cs="Times New Roman"/>
                        <w:color w:val="000000"/>
                        <w:shd w:val="clear" w:color="auto" w:fill="FEFEFE"/>
                        <w:rPrChange w:id="509" w:author="Giorgi Kobaladze" w:date="2020-07-17T06:43:00Z">
                          <w:rPr>
                            <w:rFonts w:ascii="Times New Roman" w:eastAsia="Times New Roman" w:hAnsi="Times New Roman" w:cs="Times New Roman"/>
                            <w:color w:val="000000"/>
                          </w:rPr>
                        </w:rPrChange>
                      </w:rPr>
                      <w:delText>1</w:delText>
                    </w:r>
                  </w:del>
                </w:sdtContent>
              </w:sdt>
            </w:sdtContent>
          </w:sdt>
          <w:sdt>
            <w:sdtPr>
              <w:tag w:val="goog_rdk_310"/>
              <w:id w:val="-1899127394"/>
            </w:sdtPr>
            <w:sdtContent>
              <w:sdt>
                <w:sdtPr>
                  <w:tag w:val="goog_rdk_311"/>
                  <w:id w:val="1189876883"/>
                </w:sdtPr>
                <w:sdtContent>
                  <w:ins w:id="510" w:author="Giorgi Kobaladze" w:date="2020-07-17T06:42:00Z">
                    <w:r w:rsidR="00790D5B">
                      <w:rPr>
                        <w:rFonts w:ascii="Times New Roman" w:eastAsia="Times New Roman" w:hAnsi="Times New Roman" w:cs="Times New Roman"/>
                        <w:color w:val="000000"/>
                        <w:shd w:val="clear" w:color="auto" w:fill="FEFEFE"/>
                        <w:rPrChange w:id="511" w:author="Giorgi Kobaladze" w:date="2020-07-17T06:43:00Z">
                          <w:rPr>
                            <w:rFonts w:ascii="Times New Roman" w:eastAsia="Times New Roman" w:hAnsi="Times New Roman" w:cs="Times New Roman"/>
                            <w:color w:val="000000"/>
                          </w:rPr>
                        </w:rPrChange>
                      </w:rPr>
                      <w:t>3400 to 3500m</w:t>
                    </w:r>
                  </w:ins>
                </w:sdtContent>
              </w:sdt>
            </w:sdtContent>
          </w:sdt>
          <w:sdt>
            <w:sdtPr>
              <w:tag w:val="goog_rdk_312"/>
              <w:id w:val="2072001483"/>
            </w:sdtPr>
            <w:sdtContent>
              <w:sdt>
                <w:sdtPr>
                  <w:tag w:val="goog_rdk_313"/>
                  <w:id w:val="436033892"/>
                </w:sdtPr>
                <w:sdtContent>
                  <w:del w:id="512" w:author="Giorgi Kobaladze" w:date="2020-07-17T06:42:00Z">
                    <w:r w:rsidR="00790D5B">
                      <w:rPr>
                        <w:rFonts w:ascii="Times New Roman" w:eastAsia="Times New Roman" w:hAnsi="Times New Roman" w:cs="Times New Roman"/>
                        <w:color w:val="000000"/>
                        <w:shd w:val="clear" w:color="auto" w:fill="FEFEFE"/>
                        <w:rPrChange w:id="513" w:author="Giorgi Kobaladze" w:date="2020-07-17T06:43:00Z">
                          <w:rPr>
                            <w:rFonts w:ascii="Times New Roman" w:eastAsia="Times New Roman" w:hAnsi="Times New Roman" w:cs="Times New Roman"/>
                            <w:color w:val="000000"/>
                          </w:rPr>
                        </w:rPrChange>
                      </w:rPr>
                      <w:delText xml:space="preserve">1,200 to 11,500 </w:delText>
                    </w:r>
                  </w:del>
                </w:sdtContent>
              </w:sdt>
              <w:customXmlDelRangeStart w:id="514" w:author="Giorgi Kobaladze" w:date="2020-07-17T06:42:00Z"/>
              <w:sdt>
                <w:sdtPr>
                  <w:tag w:val="goog_rdk_314"/>
                  <w:id w:val="-1299833168"/>
                </w:sdtPr>
                <w:sdtContent>
                  <w:customXmlDelRangeEnd w:id="514"/>
                  <w:commentRangeStart w:id="515"/>
                  <w:customXmlDelRangeStart w:id="516" w:author="Giorgi Kobaladze" w:date="2020-07-17T06:42:00Z"/>
                </w:sdtContent>
              </w:sdt>
              <w:customXmlDelRangeEnd w:id="516"/>
              <w:customXmlDelRangeStart w:id="517" w:author="Giorgi Kobaladze" w:date="2020-07-17T06:42:00Z"/>
              <w:sdt>
                <w:sdtPr>
                  <w:tag w:val="goog_rdk_315"/>
                  <w:id w:val="-1950144247"/>
                </w:sdtPr>
                <w:sdtContent>
                  <w:customXmlDelRangeEnd w:id="517"/>
                  <w:del w:id="518" w:author="Giorgi Kobaladze" w:date="2020-07-17T06:42:00Z">
                    <w:r w:rsidR="00790D5B">
                      <w:rPr>
                        <w:rFonts w:ascii="Times New Roman" w:eastAsia="Times New Roman" w:hAnsi="Times New Roman" w:cs="Times New Roman"/>
                        <w:color w:val="000000"/>
                        <w:shd w:val="clear" w:color="auto" w:fill="FEFEFE"/>
                        <w:rPrChange w:id="519" w:author="Giorgi Kobaladze" w:date="2020-07-17T06:43:00Z">
                          <w:rPr>
                            <w:rFonts w:ascii="Times New Roman" w:eastAsia="Times New Roman" w:hAnsi="Times New Roman" w:cs="Times New Roman"/>
                            <w:color w:val="000000"/>
                          </w:rPr>
                        </w:rPrChange>
                      </w:rPr>
                      <w:delText>feet</w:delText>
                    </w:r>
                  </w:del>
                  <w:customXmlDelRangeStart w:id="520" w:author="Giorgi Kobaladze" w:date="2020-07-17T06:42:00Z"/>
                </w:sdtContent>
              </w:sdt>
              <w:customXmlDelRangeEnd w:id="520"/>
            </w:sdtContent>
          </w:sdt>
          <w:commentRangeEnd w:id="515"/>
          <w:r w:rsidR="00790D5B">
            <w:commentReference w:id="515"/>
          </w:r>
          <w:sdt>
            <w:sdtPr>
              <w:tag w:val="goog_rdk_316"/>
              <w:id w:val="-102583107"/>
            </w:sdtPr>
            <w:sdtContent>
              <w:r w:rsidR="00790D5B">
                <w:rPr>
                  <w:rFonts w:ascii="Times New Roman" w:eastAsia="Times New Roman" w:hAnsi="Times New Roman" w:cs="Times New Roman"/>
                  <w:color w:val="000000"/>
                  <w:shd w:val="clear" w:color="auto" w:fill="FEFEFE"/>
                  <w:rPrChange w:id="521" w:author="Giorgi Kobaladze" w:date="2020-07-17T06:43:00Z">
                    <w:rPr>
                      <w:rFonts w:ascii="Times New Roman" w:eastAsia="Times New Roman" w:hAnsi="Times New Roman" w:cs="Times New Roman"/>
                      <w:color w:val="000000"/>
                    </w:rPr>
                  </w:rPrChange>
                </w:rPr>
                <w:t xml:space="preserve"> snow and ice are present year-round. In eastern Georgia, farther inland, temperatures are lower than in the western portions at the same altitude.</w:t>
              </w:r>
            </w:sdtContent>
          </w:sdt>
        </w:p>
      </w:sdtContent>
    </w:sdt>
    <w:p w14:paraId="00000166"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Western Georgia has heavy rainfall throughout the year, totaling 1,000 to 2,500 mm and reaching a maximum in autumn and winter. Southern Kolkheti receives the most rain, and humidity decreases to the north and east. Winter in this region is mild and warm; in regions below about </w:t>
      </w:r>
      <w:sdt>
        <w:sdtPr>
          <w:tag w:val="goog_rdk_318"/>
          <w:id w:val="-1802842098"/>
        </w:sdtPr>
        <w:sdtContent>
          <w:ins w:id="522" w:author="Giorgi Kobaladze" w:date="2020-07-17T06:44:00Z">
            <w:r>
              <w:rPr>
                <w:rFonts w:ascii="Times New Roman" w:eastAsia="Times New Roman" w:hAnsi="Times New Roman" w:cs="Times New Roman"/>
                <w:color w:val="000000"/>
              </w:rPr>
              <w:t>600 to 700m</w:t>
            </w:r>
          </w:ins>
        </w:sdtContent>
      </w:sdt>
      <w:sdt>
        <w:sdtPr>
          <w:tag w:val="goog_rdk_319"/>
          <w:id w:val="2038628943"/>
        </w:sdtPr>
        <w:sdtContent>
          <w:del w:id="523" w:author="Giorgi Kobaladze" w:date="2020-07-17T06:44:00Z">
            <w:r>
              <w:rPr>
                <w:rFonts w:ascii="Times New Roman" w:eastAsia="Times New Roman" w:hAnsi="Times New Roman" w:cs="Times New Roman"/>
                <w:color w:val="000000"/>
              </w:rPr>
              <w:delText xml:space="preserve">2,000 to 2,300 </w:delText>
            </w:r>
          </w:del>
          <w:sdt>
            <w:sdtPr>
              <w:tag w:val="goog_rdk_320"/>
              <w:id w:val="558594105"/>
            </w:sdtPr>
            <w:sdtContent>
              <w:commentRangeStart w:id="524"/>
            </w:sdtContent>
          </w:sdt>
          <w:del w:id="525" w:author="Giorgi Kobaladze" w:date="2020-07-17T06:44:00Z">
            <w:r>
              <w:rPr>
                <w:rFonts w:ascii="Times New Roman" w:eastAsia="Times New Roman" w:hAnsi="Times New Roman" w:cs="Times New Roman"/>
                <w:color w:val="000000"/>
              </w:rPr>
              <w:delText>feet</w:delText>
            </w:r>
          </w:del>
        </w:sdtContent>
      </w:sdt>
      <w:commentRangeEnd w:id="524"/>
      <w:r>
        <w:commentReference w:id="524"/>
      </w:r>
      <w:r>
        <w:rPr>
          <w:rFonts w:ascii="Times New Roman" w:eastAsia="Times New Roman" w:hAnsi="Times New Roman" w:cs="Times New Roman"/>
          <w:color w:val="000000"/>
        </w:rPr>
        <w:t>, the mean January temperature never falls below 320 °C, and relatively warm, sunny winter weather persists in the coastal regions, where temperatures average about 5°C. Summer temperatures average about 22 °C.</w:t>
      </w:r>
    </w:p>
    <w:sdt>
      <w:sdtPr>
        <w:tag w:val="goog_rdk_327"/>
        <w:id w:val="974715117"/>
      </w:sdtPr>
      <w:sdtContent>
        <w:p w14:paraId="00000167" w14:textId="77777777" w:rsidR="009F1887" w:rsidRDefault="00790D5B">
          <w:pPr>
            <w:pBdr>
              <w:top w:val="nil"/>
              <w:left w:val="nil"/>
              <w:bottom w:val="nil"/>
              <w:right w:val="nil"/>
              <w:between w:val="nil"/>
            </w:pBdr>
            <w:shd w:val="clear" w:color="auto" w:fill="FFFFFF"/>
            <w:spacing w:after="160"/>
            <w:jc w:val="both"/>
            <w:rPr>
              <w:ins w:id="526" w:author="Author" w:date="2020-07-15T05:14:00Z"/>
              <w:rFonts w:ascii="Times New Roman" w:eastAsia="Times New Roman" w:hAnsi="Times New Roman" w:cs="Times New Roman"/>
              <w:color w:val="000000"/>
            </w:rPr>
          </w:pPr>
          <w:r>
            <w:rPr>
              <w:rFonts w:ascii="Times New Roman" w:eastAsia="Times New Roman" w:hAnsi="Times New Roman" w:cs="Times New Roman"/>
              <w:color w:val="000000"/>
            </w:rPr>
            <w:t>In eastern Georgia, precipitation decreases with distance from the sea, reaching</w:t>
          </w:r>
          <w:sdt>
            <w:sdtPr>
              <w:tag w:val="goog_rdk_321"/>
              <w:id w:val="-265537093"/>
            </w:sdtPr>
            <w:sdtContent>
              <w:r>
                <w:rPr>
                  <w:rFonts w:ascii="Times New Roman" w:eastAsia="Times New Roman" w:hAnsi="Times New Roman" w:cs="Times New Roman"/>
                  <w:color w:val="000000"/>
                  <w:shd w:val="clear" w:color="auto" w:fill="FEFEFE"/>
                  <w:rPrChange w:id="527" w:author="Giorgi Kobaladze" w:date="2020-07-17T06:44:00Z">
                    <w:rPr>
                      <w:rFonts w:ascii="Times New Roman" w:eastAsia="Times New Roman" w:hAnsi="Times New Roman" w:cs="Times New Roman"/>
                      <w:color w:val="000000"/>
                    </w:rPr>
                  </w:rPrChange>
                </w:rPr>
                <w:t xml:space="preserve"> </w:t>
              </w:r>
            </w:sdtContent>
          </w:sdt>
          <w:sdt>
            <w:sdtPr>
              <w:tag w:val="goog_rdk_322"/>
              <w:id w:val="-925418698"/>
            </w:sdtPr>
            <w:sdtContent>
              <w:sdt>
                <w:sdtPr>
                  <w:tag w:val="goog_rdk_323"/>
                  <w:id w:val="501854918"/>
                </w:sdtPr>
                <w:sdtContent>
                  <w:ins w:id="528" w:author="Giorgi Kobaladze" w:date="2020-07-17T06:44:00Z">
                    <w:r>
                      <w:rPr>
                        <w:rFonts w:ascii="Times New Roman" w:eastAsia="Times New Roman" w:hAnsi="Times New Roman" w:cs="Times New Roman"/>
                        <w:color w:val="000000"/>
                        <w:shd w:val="clear" w:color="auto" w:fill="FEFEFE"/>
                        <w:rPrChange w:id="529" w:author="Giorgi Kobaladze" w:date="2020-07-17T06:44:00Z">
                          <w:rPr>
                            <w:rFonts w:ascii="Times New Roman" w:eastAsia="Times New Roman" w:hAnsi="Times New Roman" w:cs="Times New Roman"/>
                            <w:color w:val="000000"/>
                          </w:rPr>
                        </w:rPrChange>
                      </w:rPr>
                      <w:t>400 to 700mm</w:t>
                    </w:r>
                  </w:ins>
                </w:sdtContent>
              </w:sdt>
            </w:sdtContent>
          </w:sdt>
          <w:sdt>
            <w:sdtPr>
              <w:tag w:val="goog_rdk_324"/>
              <w:id w:val="-504356487"/>
            </w:sdtPr>
            <w:sdtContent>
              <w:del w:id="530" w:author="Giorgi Kobaladze" w:date="2020-07-17T06:44:00Z">
                <w:r>
                  <w:rPr>
                    <w:rFonts w:ascii="Times New Roman" w:eastAsia="Times New Roman" w:hAnsi="Times New Roman" w:cs="Times New Roman"/>
                    <w:color w:val="000000"/>
                  </w:rPr>
                  <w:delText xml:space="preserve">16 to 28 </w:delText>
                </w:r>
              </w:del>
              <w:sdt>
                <w:sdtPr>
                  <w:tag w:val="goog_rdk_325"/>
                  <w:id w:val="-812328219"/>
                </w:sdtPr>
                <w:sdtContent>
                  <w:commentRangeStart w:id="531"/>
                </w:sdtContent>
              </w:sdt>
              <w:del w:id="532" w:author="Giorgi Kobaladze" w:date="2020-07-17T06:44:00Z">
                <w:r>
                  <w:rPr>
                    <w:rFonts w:ascii="Times New Roman" w:eastAsia="Times New Roman" w:hAnsi="Times New Roman" w:cs="Times New Roman"/>
                    <w:color w:val="000000"/>
                  </w:rPr>
                  <w:delText>inches</w:delText>
                </w:r>
              </w:del>
            </w:sdtContent>
          </w:sdt>
          <w:commentRangeEnd w:id="531"/>
          <w:r>
            <w:commentReference w:id="531"/>
          </w:r>
          <w:r>
            <w:rPr>
              <w:rFonts w:ascii="Times New Roman" w:eastAsia="Times New Roman" w:hAnsi="Times New Roman" w:cs="Times New Roman"/>
              <w:color w:val="000000"/>
            </w:rPr>
            <w:t xml:space="preserve"> in the plains and foothills but increasing to double this amount in the mountains. The southeastern regions are the driest areas, and winter is the driest season; the rainfall maximum occurs at the end of spring. The highest lowland temperatures occur in July (about 25 °C), while average January temperatures over most of the region range from 0 to 3 °C</w:t>
          </w:r>
          <w:r>
            <w:rPr>
              <w:rFonts w:ascii="Times New Roman" w:eastAsia="Times New Roman" w:hAnsi="Times New Roman" w:cs="Times New Roman"/>
              <w:color w:val="000000"/>
              <w:vertAlign w:val="superscript"/>
            </w:rPr>
            <w:footnoteReference w:id="24"/>
          </w:r>
          <w:r>
            <w:rPr>
              <w:rFonts w:ascii="Times New Roman" w:eastAsia="Times New Roman" w:hAnsi="Times New Roman" w:cs="Times New Roman"/>
              <w:color w:val="000000"/>
            </w:rPr>
            <w:t>.</w:t>
          </w:r>
          <w:sdt>
            <w:sdtPr>
              <w:tag w:val="goog_rdk_326"/>
              <w:id w:val="433480294"/>
            </w:sdtPr>
            <w:sdtContent/>
          </w:sdt>
        </w:p>
      </w:sdtContent>
    </w:sdt>
    <w:sdt>
      <w:sdtPr>
        <w:tag w:val="goog_rdk_330"/>
        <w:id w:val="-1166857462"/>
      </w:sdtPr>
      <w:sdtContent>
        <w:p w14:paraId="00000168" w14:textId="77777777" w:rsidR="009F1887" w:rsidRDefault="00EC15FD">
          <w:pPr>
            <w:shd w:val="clear" w:color="auto" w:fill="FFFFFF"/>
            <w:spacing w:after="160"/>
            <w:jc w:val="both"/>
            <w:rPr>
              <w:ins w:id="533" w:author="Giorgi Kobaladze" w:date="2020-07-17T06:45:00Z"/>
              <w:rFonts w:ascii="Times New Roman" w:eastAsia="Times New Roman" w:hAnsi="Times New Roman" w:cs="Times New Roman"/>
              <w:color w:val="000000"/>
            </w:rPr>
          </w:pPr>
          <w:sdt>
            <w:sdtPr>
              <w:tag w:val="goog_rdk_329"/>
              <w:id w:val="-93560942"/>
            </w:sdtPr>
            <w:sdtContent/>
          </w:sdt>
        </w:p>
      </w:sdtContent>
    </w:sdt>
    <w:sdt>
      <w:sdtPr>
        <w:tag w:val="goog_rdk_333"/>
        <w:id w:val="-882791386"/>
      </w:sdtPr>
      <w:sdtContent>
        <w:p w14:paraId="00000169" w14:textId="77777777" w:rsidR="009F1887" w:rsidRDefault="00EC15FD">
          <w:pPr>
            <w:shd w:val="clear" w:color="auto" w:fill="FFFFFF"/>
            <w:spacing w:after="160"/>
            <w:jc w:val="both"/>
            <w:rPr>
              <w:ins w:id="534" w:author="Giorgi Kobaladze" w:date="2020-07-17T06:45:00Z"/>
              <w:rFonts w:ascii="Times New Roman" w:eastAsia="Times New Roman" w:hAnsi="Times New Roman" w:cs="Times New Roman"/>
              <w:color w:val="000000"/>
            </w:rPr>
          </w:pPr>
          <w:sdt>
            <w:sdtPr>
              <w:tag w:val="goog_rdk_332"/>
              <w:id w:val="1908496421"/>
            </w:sdtPr>
            <w:sdtContent>
              <w:ins w:id="535" w:author="Giorgi Kobaladze" w:date="2020-07-17T06:45:00Z">
                <w:r w:rsidR="00790D5B">
                  <w:rPr>
                    <w:rFonts w:ascii="Times New Roman" w:eastAsia="Times New Roman" w:hAnsi="Times New Roman" w:cs="Times New Roman"/>
                    <w:color w:val="000000"/>
                  </w:rPr>
                  <w:t>Climate Change</w:t>
                </w:r>
              </w:ins>
            </w:sdtContent>
          </w:sdt>
        </w:p>
      </w:sdtContent>
    </w:sdt>
    <w:sdt>
      <w:sdtPr>
        <w:tag w:val="goog_rdk_335"/>
        <w:id w:val="1999072534"/>
      </w:sdtPr>
      <w:sdtContent>
        <w:p w14:paraId="0000016A" w14:textId="77777777" w:rsidR="009F1887" w:rsidRDefault="00EC15FD">
          <w:pPr>
            <w:shd w:val="clear" w:color="auto" w:fill="FFFFFF"/>
            <w:spacing w:after="160"/>
            <w:jc w:val="both"/>
            <w:rPr>
              <w:ins w:id="536" w:author="Giorgi Kobaladze" w:date="2020-07-17T06:45:00Z"/>
              <w:rFonts w:ascii="Times New Roman" w:eastAsia="Times New Roman" w:hAnsi="Times New Roman" w:cs="Times New Roman"/>
              <w:color w:val="000000"/>
            </w:rPr>
          </w:pPr>
          <w:sdt>
            <w:sdtPr>
              <w:tag w:val="goog_rdk_334"/>
              <w:id w:val="-1801516847"/>
            </w:sdtPr>
            <w:sdtContent>
              <w:ins w:id="537" w:author="Giorgi Kobaladze" w:date="2020-07-17T06:45:00Z">
                <w:r w:rsidR="00790D5B">
                  <w:rPr>
                    <w:rFonts w:ascii="Times New Roman" w:eastAsia="Times New Roman" w:hAnsi="Times New Roman" w:cs="Times New Roman"/>
                    <w:color w:val="000000"/>
                  </w:rPr>
                  <w:t xml:space="preserve">The climate change has a strong impact on Georgia’s environment. The negative consequences of climate change in Georgia include the rise in temperatures, changes in precipitation patterns, reduction in water availability, rise of the Black Sea water level, an increase in frequency and intensity of floods, flashfloods, landslides and mudflows, the decrease of rainfall and the extension of evaporation. </w:t>
                </w:r>
              </w:ins>
            </w:sdtContent>
          </w:sdt>
        </w:p>
      </w:sdtContent>
    </w:sdt>
    <w:sdt>
      <w:sdtPr>
        <w:tag w:val="goog_rdk_337"/>
        <w:id w:val="899947762"/>
      </w:sdtPr>
      <w:sdtContent>
        <w:p w14:paraId="0000016B" w14:textId="77777777" w:rsidR="009F1887" w:rsidRDefault="00EC15FD">
          <w:pPr>
            <w:shd w:val="clear" w:color="auto" w:fill="FFFFFF"/>
            <w:spacing w:before="240" w:after="160"/>
            <w:jc w:val="both"/>
            <w:rPr>
              <w:ins w:id="538" w:author="Giorgi Kobaladze" w:date="2020-07-17T06:45:00Z"/>
              <w:rFonts w:ascii="Times New Roman" w:eastAsia="Times New Roman" w:hAnsi="Times New Roman" w:cs="Times New Roman"/>
              <w:color w:val="000000"/>
            </w:rPr>
          </w:pPr>
          <w:sdt>
            <w:sdtPr>
              <w:tag w:val="goog_rdk_336"/>
              <w:id w:val="1354767258"/>
            </w:sdtPr>
            <w:sdtContent>
              <w:ins w:id="539" w:author="Giorgi Kobaladze" w:date="2020-07-17T06:45:00Z">
                <w:r w:rsidR="00790D5B">
                  <w:rPr>
                    <w:rFonts w:ascii="Times New Roman" w:eastAsia="Times New Roman" w:hAnsi="Times New Roman" w:cs="Times New Roman"/>
                    <w:color w:val="000000"/>
                  </w:rPr>
                  <w:t>The adverse impact of climate change on ecosystems and the economy pose severe threats to Georgia’s sustainable development. Geographical location, complex dissected landscape, diversity of climate zones, set the conditions for a wide variety of negative consequences of climate change in Georgia. Climate change is also the main trigger or co-factor in several adverse environmental effects:</w:t>
                </w:r>
              </w:ins>
            </w:sdtContent>
          </w:sdt>
        </w:p>
      </w:sdtContent>
    </w:sdt>
    <w:sdt>
      <w:sdtPr>
        <w:tag w:val="goog_rdk_339"/>
        <w:id w:val="1912039030"/>
      </w:sdtPr>
      <w:sdtContent>
        <w:p w14:paraId="0000016C" w14:textId="77777777" w:rsidR="009F1887" w:rsidRDefault="00EC15FD">
          <w:pPr>
            <w:shd w:val="clear" w:color="auto" w:fill="FFFFFF"/>
            <w:spacing w:before="240" w:after="160"/>
            <w:jc w:val="both"/>
            <w:rPr>
              <w:ins w:id="540" w:author="Giorgi Kobaladze" w:date="2020-07-17T06:45:00Z"/>
              <w:rFonts w:ascii="Times New Roman" w:eastAsia="Times New Roman" w:hAnsi="Times New Roman" w:cs="Times New Roman"/>
              <w:color w:val="000000"/>
            </w:rPr>
          </w:pPr>
          <w:sdt>
            <w:sdtPr>
              <w:tag w:val="goog_rdk_338"/>
              <w:id w:val="-1433653971"/>
            </w:sdtPr>
            <w:sdtContent>
              <w:ins w:id="541" w:author="Giorgi Kobaladze" w:date="2020-07-17T06:45:00Z">
                <w:r w:rsidR="00790D5B">
                  <w:rPr>
                    <w:rFonts w:ascii="Times New Roman" w:eastAsia="Times New Roman" w:hAnsi="Times New Roman" w:cs="Times New Roman"/>
                    <w:color w:val="000000"/>
                  </w:rPr>
                  <w:t>·        Due to rising the sea level and the appearance of other factors, the Black Sea has damaged houses and infrastructure along the coastline;</w:t>
                </w:r>
              </w:ins>
            </w:sdtContent>
          </w:sdt>
        </w:p>
      </w:sdtContent>
    </w:sdt>
    <w:sdt>
      <w:sdtPr>
        <w:tag w:val="goog_rdk_341"/>
        <w:id w:val="-434676998"/>
      </w:sdtPr>
      <w:sdtContent>
        <w:p w14:paraId="0000016D" w14:textId="77777777" w:rsidR="009F1887" w:rsidRDefault="00EC15FD">
          <w:pPr>
            <w:shd w:val="clear" w:color="auto" w:fill="FFFFFF"/>
            <w:spacing w:before="240" w:after="160"/>
            <w:jc w:val="both"/>
            <w:rPr>
              <w:ins w:id="542" w:author="Giorgi Kobaladze" w:date="2020-07-17T06:45:00Z"/>
              <w:rFonts w:ascii="Times New Roman" w:eastAsia="Times New Roman" w:hAnsi="Times New Roman" w:cs="Times New Roman"/>
              <w:color w:val="000000"/>
            </w:rPr>
          </w:pPr>
          <w:sdt>
            <w:sdtPr>
              <w:tag w:val="goog_rdk_340"/>
              <w:id w:val="552662155"/>
            </w:sdtPr>
            <w:sdtContent>
              <w:ins w:id="543" w:author="Giorgi Kobaladze" w:date="2020-07-17T06:45:00Z">
                <w:r w:rsidR="00790D5B">
                  <w:rPr>
                    <w:rFonts w:ascii="Times New Roman" w:eastAsia="Times New Roman" w:hAnsi="Times New Roman" w:cs="Times New Roman"/>
                    <w:color w:val="000000"/>
                  </w:rPr>
                  <w:t xml:space="preserve">·        In highlands, the growing frequency and intensity of floods, flashfloods, landslides and mudflows have caused a huge amount of damage to the economy </w:t>
                </w:r>
              </w:ins>
            </w:sdtContent>
          </w:sdt>
        </w:p>
      </w:sdtContent>
    </w:sdt>
    <w:sdt>
      <w:sdtPr>
        <w:tag w:val="goog_rdk_343"/>
        <w:id w:val="-894420590"/>
      </w:sdtPr>
      <w:sdtContent>
        <w:p w14:paraId="0000016E" w14:textId="77777777" w:rsidR="009F1887" w:rsidRDefault="00EC15FD">
          <w:pPr>
            <w:shd w:val="clear" w:color="auto" w:fill="FFFFFF"/>
            <w:spacing w:before="240" w:after="160"/>
            <w:jc w:val="both"/>
            <w:rPr>
              <w:ins w:id="544" w:author="Giorgi Kobaladze" w:date="2020-07-17T06:45:00Z"/>
              <w:rFonts w:ascii="Times New Roman" w:eastAsia="Times New Roman" w:hAnsi="Times New Roman" w:cs="Times New Roman"/>
              <w:color w:val="000000"/>
            </w:rPr>
          </w:pPr>
          <w:sdt>
            <w:sdtPr>
              <w:tag w:val="goog_rdk_342"/>
              <w:id w:val="-1998563799"/>
            </w:sdtPr>
            <w:sdtContent>
              <w:ins w:id="545" w:author="Giorgi Kobaladze" w:date="2020-07-17T06:45:00Z">
                <w:r w:rsidR="00790D5B">
                  <w:rPr>
                    <w:rFonts w:ascii="Times New Roman" w:eastAsia="Times New Roman" w:hAnsi="Times New Roman" w:cs="Times New Roman"/>
                    <w:color w:val="000000"/>
                  </w:rPr>
                  <w:t>·        Due to decreasing rainfall and enhanced evaporation of semi-arid regions, eastern Georgia is under the threat of desertification;</w:t>
                </w:r>
              </w:ins>
            </w:sdtContent>
          </w:sdt>
        </w:p>
      </w:sdtContent>
    </w:sdt>
    <w:sdt>
      <w:sdtPr>
        <w:tag w:val="goog_rdk_345"/>
        <w:id w:val="-2073338516"/>
      </w:sdtPr>
      <w:sdtContent>
        <w:p w14:paraId="0000016F" w14:textId="77777777" w:rsidR="009F1887" w:rsidRDefault="00EC15FD">
          <w:pPr>
            <w:shd w:val="clear" w:color="auto" w:fill="FFFFFF"/>
            <w:spacing w:before="240" w:after="160"/>
            <w:jc w:val="both"/>
            <w:rPr>
              <w:ins w:id="546" w:author="Giorgi Kobaladze" w:date="2020-07-17T06:45:00Z"/>
              <w:rFonts w:ascii="Times New Roman" w:eastAsia="Times New Roman" w:hAnsi="Times New Roman" w:cs="Times New Roman"/>
              <w:color w:val="000000"/>
            </w:rPr>
          </w:pPr>
          <w:sdt>
            <w:sdtPr>
              <w:tag w:val="goog_rdk_344"/>
              <w:id w:val="-618452400"/>
            </w:sdtPr>
            <w:sdtContent>
              <w:ins w:id="547" w:author="Giorgi Kobaladze" w:date="2020-07-17T06:45:00Z">
                <w:r w:rsidR="00790D5B">
                  <w:rPr>
                    <w:rFonts w:ascii="Times New Roman" w:eastAsia="Times New Roman" w:hAnsi="Times New Roman" w:cs="Times New Roman"/>
                    <w:color w:val="000000"/>
                  </w:rPr>
                  <w:t>·        The frequent and intensive heat waves have affected human health;</w:t>
                </w:r>
              </w:ins>
            </w:sdtContent>
          </w:sdt>
        </w:p>
      </w:sdtContent>
    </w:sdt>
    <w:sdt>
      <w:sdtPr>
        <w:tag w:val="goog_rdk_347"/>
        <w:id w:val="-1470366270"/>
      </w:sdtPr>
      <w:sdtContent>
        <w:p w14:paraId="00000170" w14:textId="77777777" w:rsidR="009F1887" w:rsidRDefault="00EC15FD">
          <w:pPr>
            <w:shd w:val="clear" w:color="auto" w:fill="FFFFFF"/>
            <w:spacing w:before="240" w:after="160"/>
            <w:jc w:val="both"/>
            <w:rPr>
              <w:ins w:id="548" w:author="Giorgi Kobaladze" w:date="2020-07-17T06:45:00Z"/>
              <w:rFonts w:ascii="Times New Roman" w:eastAsia="Times New Roman" w:hAnsi="Times New Roman" w:cs="Times New Roman"/>
              <w:color w:val="000000"/>
            </w:rPr>
          </w:pPr>
          <w:sdt>
            <w:sdtPr>
              <w:tag w:val="goog_rdk_346"/>
              <w:id w:val="1616707459"/>
            </w:sdtPr>
            <w:sdtContent>
              <w:ins w:id="549" w:author="Giorgi Kobaladze" w:date="2020-07-17T06:45:00Z">
                <w:r w:rsidR="00790D5B">
                  <w:rPr>
                    <w:rFonts w:ascii="Times New Roman" w:eastAsia="Times New Roman" w:hAnsi="Times New Roman" w:cs="Times New Roman"/>
                    <w:color w:val="000000"/>
                  </w:rPr>
                  <w:t>·        Increases in temperature, changes in precipitation patterns, reduction in water availability, forest fires and spreading pests and diseases have worsened the growth and productivity of forests.</w:t>
                </w:r>
              </w:ins>
            </w:sdtContent>
          </w:sdt>
        </w:p>
      </w:sdtContent>
    </w:sdt>
    <w:sdt>
      <w:sdtPr>
        <w:tag w:val="goog_rdk_349"/>
        <w:id w:val="891539829"/>
      </w:sdtPr>
      <w:sdtContent>
        <w:p w14:paraId="00000171" w14:textId="77777777" w:rsidR="009F1887" w:rsidRDefault="00EC15FD">
          <w:pPr>
            <w:shd w:val="clear" w:color="auto" w:fill="FFFFFF"/>
            <w:spacing w:before="240" w:after="160"/>
            <w:jc w:val="both"/>
            <w:rPr>
              <w:ins w:id="550" w:author="Giorgi Kobaladze" w:date="2020-07-17T06:45:00Z"/>
              <w:rFonts w:ascii="Times New Roman" w:eastAsia="Times New Roman" w:hAnsi="Times New Roman" w:cs="Times New Roman"/>
              <w:color w:val="000000"/>
            </w:rPr>
          </w:pPr>
          <w:sdt>
            <w:sdtPr>
              <w:tag w:val="goog_rdk_348"/>
              <w:id w:val="1510399335"/>
            </w:sdtPr>
            <w:sdtContent>
              <w:ins w:id="551" w:author="Giorgi Kobaladze" w:date="2020-07-17T06:45:00Z">
                <w:r w:rsidR="00790D5B">
                  <w:rPr>
                    <w:rFonts w:ascii="Times New Roman" w:eastAsia="Times New Roman" w:hAnsi="Times New Roman" w:cs="Times New Roman"/>
                    <w:color w:val="000000"/>
                  </w:rPr>
                  <w:t xml:space="preserve">Climate Change also affects various economic sectors in Georgia, particularly the agricultural sector which sector plays a key role in the country’s economy. The farmers in Georgia take a principal role in providing one of the fundamental needs of society: a safe, secure, and affordable food supply. This underlines the importance of the relationship between climate change impact on agriculture and food security. During the </w:t>
                </w:r>
                <w:r w:rsidR="00790D5B">
                  <w:rPr>
                    <w:rFonts w:ascii="Times New Roman" w:eastAsia="Times New Roman" w:hAnsi="Times New Roman" w:cs="Times New Roman"/>
                    <w:color w:val="000000"/>
                  </w:rPr>
                  <w:lastRenderedPageBreak/>
                  <w:t>last decades, the negative consequences of climate change (rising temperatures, increased winds and reduced water availability) have significantly reduced agricultural productivity in Georgia</w:t>
                </w:r>
              </w:ins>
            </w:sdtContent>
          </w:sdt>
        </w:p>
      </w:sdtContent>
    </w:sdt>
    <w:sdt>
      <w:sdtPr>
        <w:tag w:val="goog_rdk_353"/>
        <w:id w:val="-1190518366"/>
      </w:sdtPr>
      <w:sdtContent>
        <w:p w14:paraId="00000172" w14:textId="77777777" w:rsidR="009F1887" w:rsidRPr="009F1887" w:rsidRDefault="00EC15FD">
          <w:pPr>
            <w:pBdr>
              <w:top w:val="nil"/>
              <w:left w:val="nil"/>
              <w:bottom w:val="nil"/>
              <w:right w:val="nil"/>
              <w:between w:val="nil"/>
            </w:pBdr>
            <w:shd w:val="clear" w:color="auto" w:fill="FFFFFF"/>
            <w:spacing w:after="160"/>
            <w:jc w:val="both"/>
            <w:rPr>
              <w:rFonts w:ascii="Times New Roman" w:eastAsia="Times New Roman" w:hAnsi="Times New Roman" w:cs="Times New Roman"/>
              <w:highlight w:val="yellow"/>
              <w:rPrChange w:id="552" w:author="Giorgi Kobaladze" w:date="2020-07-17T06:45:00Z">
                <w:rPr>
                  <w:rFonts w:ascii="Times New Roman" w:eastAsia="Times New Roman" w:hAnsi="Times New Roman" w:cs="Times New Roman"/>
                  <w:color w:val="000000"/>
                </w:rPr>
              </w:rPrChange>
            </w:rPr>
          </w:pPr>
          <w:sdt>
            <w:sdtPr>
              <w:tag w:val="goog_rdk_351"/>
              <w:id w:val="-328371087"/>
            </w:sdtPr>
            <w:sdtContent>
              <w:del w:id="553" w:author="Giorgi Kobaladze" w:date="2020-07-17T06:45:00Z">
                <w:r w:rsidR="00790D5B">
                  <w:rPr>
                    <w:rFonts w:ascii="Times New Roman" w:eastAsia="Times New Roman" w:hAnsi="Times New Roman" w:cs="Times New Roman"/>
                    <w:color w:val="000000"/>
                    <w:highlight w:val="yellow"/>
                  </w:rPr>
                  <w:delText>ADD A PARAGRAPH ON CLIMATE CHANGE</w:delText>
                </w:r>
              </w:del>
            </w:sdtContent>
          </w:sdt>
          <w:sdt>
            <w:sdtPr>
              <w:tag w:val="goog_rdk_352"/>
              <w:id w:val="2061591512"/>
            </w:sdtPr>
            <w:sdtContent/>
          </w:sdt>
        </w:p>
      </w:sdtContent>
    </w:sdt>
    <w:p w14:paraId="00000173" w14:textId="77777777" w:rsidR="009F1887" w:rsidRDefault="00790D5B">
      <w:pPr>
        <w:spacing w:after="160"/>
        <w:jc w:val="both"/>
        <w:rPr>
          <w:rFonts w:ascii="Times New Roman" w:eastAsia="Times New Roman" w:hAnsi="Times New Roman" w:cs="Times New Roman"/>
          <w:b/>
          <w:i/>
        </w:rPr>
      </w:pPr>
      <w:r>
        <w:rPr>
          <w:rFonts w:ascii="Times New Roman" w:eastAsia="Times New Roman" w:hAnsi="Times New Roman" w:cs="Times New Roman"/>
        </w:rPr>
        <w:br/>
      </w:r>
      <w:r>
        <w:rPr>
          <w:rFonts w:ascii="Times New Roman" w:eastAsia="Times New Roman" w:hAnsi="Times New Roman" w:cs="Times New Roman"/>
          <w:b/>
          <w:i/>
        </w:rPr>
        <w:t xml:space="preserve">Water Resources </w:t>
      </w:r>
    </w:p>
    <w:p w14:paraId="00000174"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 xml:space="preserve">Georgia is rich in freshwater resources. However, water resources are unequally distributed, and are mainly accumulated in the western part of the country. Hence supplying resource-poor eastern region with water remains one of the main challenges of water management. </w:t>
      </w:r>
    </w:p>
    <w:p w14:paraId="00000175"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The river network of Georgia comprises nearly 25 thousand rivers. They are fed mainly by thawed snow and glacial waters, underground waters and atmospheric precipitations. Total length of the river system is about 60 000 km though 99% of rivers are short (less than 25 km long).</w:t>
      </w:r>
    </w:p>
    <w:p w14:paraId="00000176"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The longest river, Kura (in Georgian language Mktvari) is 1,364 km. It is born in the mountains of the northern Turkey, crosses southern and eastern Georgia and flows into the Caspian Sea on the territory of Azerbaijan. The Kura feeds the Mingechaur water-storage basin. The Kura inflows – the Alazani (351 km), the Tori (320 km), and the Aragvi (66 km) - also flow into the Caspian Sea.</w:t>
      </w:r>
    </w:p>
    <w:p w14:paraId="00000177"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Another long and deep river Rioni (327 km) starts from the Major Caucasus, runs across the Colchis lowland and flows into the Black Sea. So does one more important Georgian river - Inguri (213 km).</w:t>
      </w:r>
    </w:p>
    <w:p w14:paraId="00000178"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There are about 860 lakes and 43 water reservoirs created for hydro energy, irrigation and drinking purposes, however, surface size and volume of lakes are considerably small in Georgia. The largest lake is Lake Parvani (37.5 sq. km) and Lake Tabatskuri (14.2 sq. km) located on Dzhavahetia uplands and Lake Paleostomi (18.2 sq. km) at the Black Sea coast in the Rioni's estuary. Other large lakes are Lake Kartsakhi (26.3 sq. km), Lake Khanchali (3.3 sq. km), and Lake Dzhandari (10.6 sq. km).</w:t>
      </w:r>
    </w:p>
    <w:p w14:paraId="00000179" w14:textId="77777777" w:rsidR="009F1887" w:rsidRDefault="00790D5B">
      <w:pPr>
        <w:spacing w:after="160"/>
        <w:jc w:val="both"/>
        <w:rPr>
          <w:rFonts w:ascii="Times New Roman" w:eastAsia="Times New Roman" w:hAnsi="Times New Roman" w:cs="Times New Roman"/>
          <w:highlight w:val="white"/>
        </w:rPr>
      </w:pPr>
      <w:r>
        <w:rPr>
          <w:rFonts w:ascii="Times New Roman" w:eastAsia="Times New Roman" w:hAnsi="Times New Roman" w:cs="Times New Roman"/>
        </w:rPr>
        <w:t>Wetlands cover about 630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of country territory and 730 Glaciers in Georgia accumulate 30 billion cubic meters of ice. Besides surface water resources, Georgia is rich with its ground water naturally supplied on surface in amount of 18000 million m³ per year excluding more than 1000 sources of mineral 250 of thermal water sources. </w:t>
      </w:r>
    </w:p>
    <w:p w14:paraId="0000017A" w14:textId="77777777" w:rsidR="009F1887" w:rsidRDefault="00790D5B">
      <w:pPr>
        <w:spacing w:after="1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Among the total water resources of 63 billion m</w:t>
      </w:r>
      <w:r>
        <w:rPr>
          <w:rFonts w:ascii="Times New Roman" w:eastAsia="Times New Roman" w:hAnsi="Times New Roman" w:cs="Times New Roman"/>
          <w:highlight w:val="white"/>
          <w:vertAlign w:val="superscript"/>
        </w:rPr>
        <w:t>3</w:t>
      </w:r>
      <w:r>
        <w:rPr>
          <w:rFonts w:ascii="Times New Roman" w:eastAsia="Times New Roman" w:hAnsi="Times New Roman" w:cs="Times New Roman"/>
          <w:highlight w:val="white"/>
        </w:rPr>
        <w:t>/year (long-term average) only 1.6 billion m</w:t>
      </w:r>
      <w:r>
        <w:rPr>
          <w:rFonts w:ascii="Times New Roman" w:eastAsia="Times New Roman" w:hAnsi="Times New Roman" w:cs="Times New Roman"/>
          <w:highlight w:val="white"/>
          <w:vertAlign w:val="superscript"/>
        </w:rPr>
        <w:t>3</w:t>
      </w:r>
      <w:r>
        <w:rPr>
          <w:rFonts w:ascii="Times New Roman" w:eastAsia="Times New Roman" w:hAnsi="Times New Roman" w:cs="Times New Roman"/>
          <w:highlight w:val="white"/>
        </w:rPr>
        <w:t>/year or about 2% are being abstracted. About two thirds of the abstracted water is used for irrigated agriculture, and the other third for municipal and industrial uses</w:t>
      </w:r>
      <w:r>
        <w:rPr>
          <w:rFonts w:ascii="Times New Roman" w:eastAsia="Times New Roman" w:hAnsi="Times New Roman" w:cs="Times New Roman"/>
          <w:highlight w:val="white"/>
          <w:vertAlign w:val="superscript"/>
        </w:rPr>
        <w:footnoteReference w:id="25"/>
      </w:r>
      <w:r>
        <w:rPr>
          <w:rFonts w:ascii="Times New Roman" w:eastAsia="Times New Roman" w:hAnsi="Times New Roman" w:cs="Times New Roman"/>
          <w:highlight w:val="white"/>
        </w:rPr>
        <w:t xml:space="preserve">. </w:t>
      </w:r>
    </w:p>
    <w:p w14:paraId="0000017B" w14:textId="77777777" w:rsidR="009F1887" w:rsidRDefault="00790D5B">
      <w:pPr>
        <w:spacing w:after="160"/>
        <w:jc w:val="both"/>
        <w:rPr>
          <w:rFonts w:ascii="Times New Roman" w:eastAsia="Times New Roman" w:hAnsi="Times New Roman" w:cs="Times New Roman"/>
          <w:b/>
          <w:i/>
        </w:rPr>
      </w:pPr>
      <w:r>
        <w:rPr>
          <w:rFonts w:ascii="Times New Roman" w:eastAsia="Times New Roman" w:hAnsi="Times New Roman" w:cs="Times New Roman"/>
          <w:b/>
          <w:i/>
        </w:rPr>
        <w:t>Sanitation</w:t>
      </w:r>
    </w:p>
    <w:p w14:paraId="0000017C"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 xml:space="preserve">At present, all 85 cities and municipalities of Georgia are provided with centralized water systems. There are 156 major water intakes in total. Drinking water is mainly withdrawn from the ground sources. A total design capacity of the ground drinking water sources is 3.1 mil. m³ a day. Bulk of water supply and sewage </w:t>
      </w:r>
      <w:r>
        <w:rPr>
          <w:rFonts w:ascii="Times New Roman" w:eastAsia="Times New Roman" w:hAnsi="Times New Roman" w:cs="Times New Roman"/>
        </w:rPr>
        <w:lastRenderedPageBreak/>
        <w:t>infrastructure of Georgia’s towns and settlements are, for the major part, municipal property. Relationships between municipalities and water utilities are built on contracts for utilization of municipal infrastructure on the basis of economic control rights.</w:t>
      </w:r>
    </w:p>
    <w:p w14:paraId="0000017D"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 xml:space="preserve">Wastewater discharge systems operate in 41 cities and districts, 30 of which have wastewater treatment plants with a total design capacity of 1.6 mil. m³ a day (including regional treatment facilities in the Gardabani district with a capacity of 1.0 mil. m³ a day, which serve Tbilisi and Rustavi). </w:t>
      </w:r>
    </w:p>
    <w:p w14:paraId="0000017E"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 xml:space="preserve">The total length of waterways and water distribution networks in Georgia is 9,500 km, and the length of wastewater networks and sewers is 4,000 km. </w:t>
      </w:r>
    </w:p>
    <w:p w14:paraId="0000017F"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 xml:space="preserve">In general, the sanitary and technical condition of most water intakes is inadequate, which is apparent from regular outbreaks of mass water-borne infections (see Annex 3). Many water intakes have no protected sanitary zones. 60 percent of water supply facilities and 50 percent of wastewater networks and sewers are beyond their service lives. </w:t>
      </w:r>
    </w:p>
    <w:p w14:paraId="00000180"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Maintenance and repair works have not been carried out at most of the water utilities for a long time. This has resulted in frequent accidents in water and wastewater systems, leading to drinking water losses and contamination of the receiving and ground water bodies. The average water losses in Georgia reaches 30-50 percent of the volumes supplied</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w:t>
      </w:r>
    </w:p>
    <w:sdt>
      <w:sdtPr>
        <w:tag w:val="goog_rdk_356"/>
        <w:id w:val="1949805419"/>
      </w:sdtPr>
      <w:sdtContent>
        <w:p w14:paraId="00000181" w14:textId="77777777" w:rsidR="009F1887" w:rsidRDefault="00790D5B">
          <w:pPr>
            <w:spacing w:after="160"/>
            <w:jc w:val="both"/>
            <w:rPr>
              <w:ins w:id="556" w:author="Giorgi Kobaladze" w:date="2020-07-17T06:46:00Z"/>
              <w:rFonts w:ascii="Times New Roman" w:eastAsia="Times New Roman" w:hAnsi="Times New Roman" w:cs="Times New Roman"/>
            </w:rPr>
          </w:pPr>
          <w:r>
            <w:rPr>
              <w:rFonts w:ascii="Times New Roman" w:eastAsia="Times New Roman" w:hAnsi="Times New Roman" w:cs="Times New Roman"/>
            </w:rPr>
            <w:t xml:space="preserve">Most of the settlements of Georgia receive water with interruptions. There is no accurate registration of water produced and consumed. The situation is worsened by a lack of laboratory water control, which means that supplied water often does not comply </w:t>
          </w:r>
          <w:sdt>
            <w:sdtPr>
              <w:tag w:val="goog_rdk_354"/>
              <w:id w:val="176078708"/>
            </w:sdtPr>
            <w:sdtContent>
              <w:del w:id="557" w:author="Giorgi Kobaladze" w:date="2020-07-17T06:46:00Z">
                <w:r>
                  <w:rPr>
                    <w:rFonts w:ascii="Times New Roman" w:eastAsia="Times New Roman" w:hAnsi="Times New Roman" w:cs="Times New Roman"/>
                  </w:rPr>
                  <w:delText xml:space="preserve">with </w:delText>
                </w:r>
              </w:del>
            </w:sdtContent>
          </w:sdt>
          <w:sdt>
            <w:sdtPr>
              <w:tag w:val="goog_rdk_355"/>
              <w:id w:val="2000000589"/>
            </w:sdtPr>
            <w:sdtContent>
              <w:ins w:id="558" w:author="Giorgi Kobaladze" w:date="2020-07-17T06:46:00Z">
                <w:r>
                  <w:rPr>
                    <w:rFonts w:ascii="Times New Roman" w:eastAsia="Times New Roman" w:hAnsi="Times New Roman" w:cs="Times New Roman"/>
                  </w:rPr>
                  <w:t>with State Standards</w:t>
                </w:r>
                <w:r>
                  <w:rPr>
                    <w:rFonts w:ascii="Times New Roman" w:eastAsia="Times New Roman" w:hAnsi="Times New Roman" w:cs="Times New Roman"/>
                    <w:vertAlign w:val="superscript"/>
                  </w:rPr>
                  <w:footnoteReference w:id="27"/>
                </w:r>
              </w:ins>
            </w:sdtContent>
          </w:sdt>
        </w:p>
      </w:sdtContent>
    </w:sdt>
    <w:sdt>
      <w:sdtPr>
        <w:tag w:val="goog_rdk_358"/>
        <w:id w:val="372890278"/>
      </w:sdtPr>
      <w:sdtContent>
        <w:p w14:paraId="00000182" w14:textId="77777777" w:rsidR="009F1887" w:rsidRDefault="00EC15FD">
          <w:pPr>
            <w:spacing w:after="160"/>
            <w:jc w:val="both"/>
            <w:rPr>
              <w:ins w:id="581" w:author="Giorgi Kobaladze" w:date="2020-07-17T06:46:00Z"/>
              <w:rFonts w:ascii="Times New Roman" w:eastAsia="Times New Roman" w:hAnsi="Times New Roman" w:cs="Times New Roman"/>
            </w:rPr>
          </w:pPr>
          <w:sdt>
            <w:sdtPr>
              <w:tag w:val="goog_rdk_357"/>
              <w:id w:val="-695548451"/>
            </w:sdtPr>
            <w:sdtContent>
              <w:ins w:id="582" w:author="Giorgi Kobaladze" w:date="2020-07-17T06:46:00Z">
                <w:r>
                  <w:pict w14:anchorId="1C7110C2">
                    <v:rect id="_x0000_i1028" style="width:0;height:1.5pt" o:hralign="center" o:hrstd="t" o:hr="t" fillcolor="#a0a0a0" stroked="f"/>
                  </w:pict>
                </w:r>
              </w:ins>
            </w:sdtContent>
          </w:sdt>
        </w:p>
      </w:sdtContent>
    </w:sdt>
    <w:p w14:paraId="00000183" w14:textId="77777777" w:rsidR="009F1887" w:rsidRDefault="00EC15FD">
      <w:pPr>
        <w:spacing w:after="160"/>
        <w:jc w:val="both"/>
        <w:rPr>
          <w:rFonts w:ascii="Times New Roman" w:eastAsia="Times New Roman" w:hAnsi="Times New Roman" w:cs="Times New Roman"/>
        </w:rPr>
      </w:pPr>
      <w:sdt>
        <w:sdtPr>
          <w:tag w:val="goog_rdk_360"/>
          <w:id w:val="1556345302"/>
        </w:sdtPr>
        <w:sdtContent>
          <w:sdt>
            <w:sdtPr>
              <w:tag w:val="goog_rdk_361"/>
              <w:id w:val="1909645207"/>
            </w:sdtPr>
            <w:sdtContent>
              <w:commentRangeStart w:id="583"/>
            </w:sdtContent>
          </w:sdt>
          <w:del w:id="584" w:author="Giorgi Kobaladze" w:date="2020-07-17T06:46:00Z">
            <w:r w:rsidR="00790D5B">
              <w:rPr>
                <w:rFonts w:ascii="Times New Roman" w:eastAsia="Times New Roman" w:hAnsi="Times New Roman" w:cs="Times New Roman"/>
              </w:rPr>
              <w:delText>Gosstandart</w:delText>
            </w:r>
            <w:commentRangeEnd w:id="583"/>
            <w:r w:rsidR="00790D5B">
              <w:commentReference w:id="583"/>
            </w:r>
            <w:r w:rsidR="00790D5B">
              <w:rPr>
                <w:rFonts w:ascii="Times New Roman" w:eastAsia="Times New Roman" w:hAnsi="Times New Roman" w:cs="Times New Roman"/>
              </w:rPr>
              <w:delText xml:space="preserve"> (State Standards)</w:delText>
            </w:r>
          </w:del>
        </w:sdtContent>
      </w:sdt>
      <w:r w:rsidR="00790D5B">
        <w:rPr>
          <w:rFonts w:ascii="Times New Roman" w:eastAsia="Times New Roman" w:hAnsi="Times New Roman" w:cs="Times New Roman"/>
        </w:rPr>
        <w:t xml:space="preserve"> or sanitary and epidemiological requirements. </w:t>
      </w:r>
    </w:p>
    <w:p w14:paraId="00000184" w14:textId="77777777" w:rsidR="009F1887" w:rsidRDefault="00790D5B">
      <w:pPr>
        <w:spacing w:after="160"/>
        <w:jc w:val="both"/>
        <w:rPr>
          <w:rFonts w:ascii="Times New Roman" w:eastAsia="Times New Roman" w:hAnsi="Times New Roman" w:cs="Times New Roman"/>
          <w:highlight w:val="white"/>
        </w:rPr>
      </w:pPr>
      <w:r>
        <w:rPr>
          <w:rFonts w:ascii="Times New Roman" w:eastAsia="Times New Roman" w:hAnsi="Times New Roman" w:cs="Times New Roman"/>
        </w:rPr>
        <w:t>The more alarming problem exists in collection and treatment of domestic sewage and industrial wastewater. Due to lengthy interruption of operations during economic and energy crisis, the existing wastewater treatment facilities and sewage collecting pipes have dilapidated. Most rural settlements do not have wastewater collection and treatment facilities at all. Large volumes of untreated wastewater are freely discharged causing pollution of rivers and the Black and the Caspian seas. Contamination of water resources is the main reason for mass intestinal and infection diseases in Georgia</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w:t>
      </w:r>
    </w:p>
    <w:p w14:paraId="00000185" w14:textId="77777777" w:rsidR="009F1887" w:rsidRDefault="00790D5B">
      <w:pPr>
        <w:spacing w:after="160"/>
        <w:jc w:val="both"/>
        <w:rPr>
          <w:rFonts w:ascii="Times New Roman" w:eastAsia="Times New Roman" w:hAnsi="Times New Roman" w:cs="Times New Roman"/>
          <w:b/>
          <w:i/>
        </w:rPr>
      </w:pPr>
      <w:r>
        <w:rPr>
          <w:rFonts w:ascii="Times New Roman" w:eastAsia="Times New Roman" w:hAnsi="Times New Roman" w:cs="Times New Roman"/>
          <w:b/>
          <w:i/>
        </w:rPr>
        <w:t xml:space="preserve">Waste Management. </w:t>
      </w:r>
    </w:p>
    <w:p w14:paraId="00000186"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color w:val="222222"/>
        </w:rPr>
        <w:t xml:space="preserve">Around 900,000 tons of municipal waste is generated annually in Georgia and more than 75 percent of it is estimated to end up in formal landfills. The rest is freely dumped in random locations, predominantly in rural areas. </w:t>
      </w:r>
    </w:p>
    <w:p w14:paraId="00000187"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Waste aggregation:</w:t>
      </w:r>
      <w:r>
        <w:rPr>
          <w:rFonts w:ascii="Times New Roman" w:eastAsia="Times New Roman" w:hAnsi="Times New Roman" w:cs="Times New Roman"/>
          <w:color w:val="000000"/>
        </w:rPr>
        <w:t xml:space="preserve"> at most of the locations the waste collection and street cleaning service (if any at all) is provided by local government which lacks necessary assets and capacity to perform this service properly. Even in case if this service is outsourced to private companies, the situation remains the same, because of lack of financial resources rooted in social and economic problem of the country and citizens payment capability to pay waste fees.</w:t>
      </w:r>
    </w:p>
    <w:p w14:paraId="00000188"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b/>
          <w:color w:val="000000"/>
        </w:rPr>
        <w:t>Waste logistics and delivery:</w:t>
      </w:r>
      <w:r>
        <w:rPr>
          <w:rFonts w:ascii="Times New Roman" w:eastAsia="Times New Roman" w:hAnsi="Times New Roman" w:cs="Times New Roman"/>
          <w:color w:val="000000"/>
        </w:rPr>
        <w:t xml:space="preserve"> There are 56</w:t>
      </w:r>
      <w:r>
        <w:rPr>
          <w:rFonts w:ascii="Times New Roman" w:eastAsia="Times New Roman" w:hAnsi="Times New Roman" w:cs="Times New Roman"/>
          <w:color w:val="000000"/>
          <w:vertAlign w:val="superscript"/>
        </w:rPr>
        <w:footnoteReference w:id="29"/>
      </w:r>
      <w:r>
        <w:rPr>
          <w:rFonts w:ascii="Times New Roman" w:eastAsia="Times New Roman" w:hAnsi="Times New Roman" w:cs="Times New Roman"/>
          <w:color w:val="000000"/>
        </w:rPr>
        <w:t xml:space="preserve"> official landfills in Georgia and 5 waste transferring stations developed at former municipal landfills location which have been transformed into transfer stations to make waste collection and waste disposal more efficient. Household waste delivered to the transferring stations from rural areas is collected and compressed in big containers and then transported regularly to the nearest bigger landfill.</w:t>
      </w:r>
    </w:p>
    <w:p w14:paraId="00000189"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Pr>
          <w:rFonts w:ascii="Times New Roman" w:eastAsia="Times New Roman" w:hAnsi="Times New Roman" w:cs="Times New Roman"/>
          <w:b/>
          <w:color w:val="000000"/>
        </w:rPr>
        <w:t xml:space="preserve">Landfilling infrastructure: </w:t>
      </w:r>
      <w:r>
        <w:rPr>
          <w:rFonts w:ascii="Times New Roman" w:eastAsia="Times New Roman" w:hAnsi="Times New Roman" w:cs="Times New Roman"/>
          <w:color w:val="000000"/>
        </w:rPr>
        <w:t>Out of the 56 official landfills operating in Georgia, only five hold environmental permits. Some of these landfills were established between the 1960s and the 1980s of the past century without any protective measures in place. Outdated landfills pose a serious threat to the public and environmental health. In the absence of insulation, leachate water soaks into the ground and contaminates groundwater. With no cover over the deposited waste, landfills emit vapors, methane and other pollutants polluting the atmosphere</w:t>
      </w:r>
      <w:r>
        <w:rPr>
          <w:rFonts w:ascii="Times New Roman" w:eastAsia="Times New Roman" w:hAnsi="Times New Roman" w:cs="Times New Roman"/>
          <w:color w:val="222222"/>
        </w:rPr>
        <w:t>.</w:t>
      </w:r>
    </w:p>
    <w:p w14:paraId="0000018A"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Pr>
          <w:rFonts w:ascii="Times New Roman" w:eastAsia="Times New Roman" w:hAnsi="Times New Roman" w:cs="Times New Roman"/>
          <w:color w:val="222222"/>
        </w:rPr>
        <w:t>The Solid Waste Management Company is a state-owned company managing 54 dumpsites across Georgia (except for Tbilisi and Adjara) since 2013. It has already closed 21 landfills and continues to maintain 30, none of which, according to experts, operate according to the European standard</w:t>
      </w:r>
      <w:r>
        <w:rPr>
          <w:rFonts w:ascii="Times New Roman" w:eastAsia="Times New Roman" w:hAnsi="Times New Roman" w:cs="Times New Roman"/>
          <w:color w:val="222222"/>
          <w:vertAlign w:val="superscript"/>
        </w:rPr>
        <w:footnoteReference w:id="30"/>
      </w:r>
      <w:r>
        <w:rPr>
          <w:rFonts w:ascii="Times New Roman" w:eastAsia="Times New Roman" w:hAnsi="Times New Roman" w:cs="Times New Roman"/>
          <w:color w:val="222222"/>
        </w:rPr>
        <w:t>. It is expected that the remaining sites will be closed by 2023. Meanwhile, new regional level sanitary landfill will substitute existing landfills following to the waste management strategy 2016-2030 of Georgia</w:t>
      </w:r>
      <w:r>
        <w:rPr>
          <w:rFonts w:ascii="Times New Roman" w:eastAsia="Times New Roman" w:hAnsi="Times New Roman" w:cs="Times New Roman"/>
          <w:color w:val="222222"/>
          <w:vertAlign w:val="superscript"/>
        </w:rPr>
        <w:footnoteReference w:id="31"/>
      </w:r>
      <w:r>
        <w:rPr>
          <w:rFonts w:ascii="Times New Roman" w:eastAsia="Times New Roman" w:hAnsi="Times New Roman" w:cs="Times New Roman"/>
          <w:color w:val="222222"/>
        </w:rPr>
        <w:t xml:space="preserve"> </w:t>
      </w:r>
    </w:p>
    <w:p w14:paraId="0000018B"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b/>
          <w:color w:val="000000"/>
        </w:rPr>
        <w:t>Reuse, Reduce, Recycle:</w:t>
      </w:r>
      <w:r>
        <w:rPr>
          <w:rFonts w:ascii="Times New Roman" w:eastAsia="Times New Roman" w:hAnsi="Times New Roman" w:cs="Times New Roman"/>
          <w:color w:val="000000"/>
        </w:rPr>
        <w:t xml:space="preserve">   There are a few recycling companies in the country. However, they are unable to access most of the recyclable materials as most of the generated waste is not being separated. Under the requirements of the EU-Georgia Association Agreement, Georgian municipalities should have started separate collection of recyclable waste fractions from 2019 but the date postponed to the end of 2020 although following to the state waste management strategy the country should be recycling 30 percent of plastic by 2020, 50 percent by 2025 and 80 percent by 2030. </w:t>
      </w:r>
    </w:p>
    <w:p w14:paraId="0000018C"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EFEFE"/>
        </w:rPr>
        <w:t xml:space="preserve">The Waste Management Code of Georgia introduces a concept of Extended Producer Responsibility (EPR) for the following specific waste streams: packaging waste (plastic, paper/cardboard, wood, metal, glass), waste electrical and electronic equipment (WEEE), end-of-the life tires (ELTs), end-of-the life vehicles (ELVs), used oils, used batteries and accumulators. </w:t>
      </w:r>
    </w:p>
    <w:p w14:paraId="0000018D" w14:textId="77777777" w:rsidR="009F1887" w:rsidRDefault="00790D5B">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 xml:space="preserve">Currently, waste management is primarily financed by the central government. The national strategy aims to make the waste management industry fully self-sufficient by 2030, by initiating a system in which the population and private sector will fully cover the expenses. </w:t>
      </w:r>
    </w:p>
    <w:p w14:paraId="0000018E"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b/>
          <w:i/>
        </w:rPr>
        <w:t>Medical Waste Management.</w:t>
      </w:r>
      <w:r>
        <w:rPr>
          <w:rFonts w:ascii="Times New Roman" w:eastAsia="Times New Roman" w:hAnsi="Times New Roman" w:cs="Times New Roman"/>
          <w:color w:val="000000"/>
          <w:shd w:val="clear" w:color="auto" w:fill="FEFEFE"/>
        </w:rPr>
        <w:t xml:space="preserve"> </w:t>
      </w:r>
      <w:r>
        <w:rPr>
          <w:rFonts w:ascii="Times New Roman" w:eastAsia="Times New Roman" w:hAnsi="Times New Roman" w:cs="Times New Roman"/>
        </w:rPr>
        <w:t xml:space="preserve">Waste Management Code of Georgia and Ordinance of the Government of Georgia on Medical Waste Management (No.294, dated 3017) and comprise core legislation for management of this particular waste stream in the country. Waste code stipulates that healthcare facilities must develop comprehensive 5 years’ corporate waste management plans. These plans are reviewed and accepted by the Department of Waste and Chemicals Management of MEPA and </w:t>
      </w:r>
      <w:sdt>
        <w:sdtPr>
          <w:tag w:val="goog_rdk_362"/>
          <w:id w:val="-924807066"/>
        </w:sdtPr>
        <w:sdtContent>
          <w:ins w:id="587" w:author="Giorgi Kobaladze" w:date="2020-07-17T06:47:00Z">
            <w:r>
              <w:rPr>
                <w:rFonts w:ascii="Times New Roman" w:eastAsia="Times New Roman" w:hAnsi="Times New Roman" w:cs="Times New Roman"/>
              </w:rPr>
              <w:t>later the progress report are required from healthcare facilities to submit anuall</w:t>
            </w:r>
          </w:ins>
        </w:sdtContent>
      </w:sdt>
      <w:sdt>
        <w:sdtPr>
          <w:tag w:val="goog_rdk_363"/>
          <w:id w:val="-335385765"/>
        </w:sdtPr>
        <w:sdtContent>
          <w:sdt>
            <w:sdtPr>
              <w:tag w:val="goog_rdk_364"/>
              <w:id w:val="94839865"/>
            </w:sdtPr>
            <w:sdtContent>
              <w:commentRangeStart w:id="588"/>
            </w:sdtContent>
          </w:sdt>
          <w:del w:id="589" w:author="Giorgi Kobaladze" w:date="2020-07-17T06:47:00Z">
            <w:r>
              <w:rPr>
                <w:rFonts w:ascii="Times New Roman" w:eastAsia="Times New Roman" w:hAnsi="Times New Roman" w:cs="Times New Roman"/>
              </w:rPr>
              <w:delText>must be reported annually</w:delText>
            </w:r>
          </w:del>
        </w:sdtContent>
      </w:sdt>
      <w:commentRangeEnd w:id="588"/>
      <w:r>
        <w:commentReference w:id="588"/>
      </w:r>
      <w:r>
        <w:rPr>
          <w:rFonts w:ascii="Times New Roman" w:eastAsia="Times New Roman" w:hAnsi="Times New Roman" w:cs="Times New Roman"/>
        </w:rPr>
        <w:t xml:space="preserve">. Environmental Supervision Department of MEPA inspects healthcare facilities to assure compliance of waste management practices to the plans. Lack of the inspection capacity and absence of necessary infrastructure for medical waste management is a critical issue in the country. </w:t>
      </w:r>
    </w:p>
    <w:p w14:paraId="0000018F"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Resolution of the Government of Georgia № 42</w:t>
      </w:r>
      <w:sdt>
        <w:sdtPr>
          <w:tag w:val="goog_rdk_365"/>
          <w:id w:val="-1323499278"/>
        </w:sdtPr>
        <w:sdtContent>
          <w:commentRangeStart w:id="590"/>
        </w:sdtContent>
      </w:sdt>
      <w:r>
        <w:rPr>
          <w:rFonts w:ascii="Times New Roman" w:eastAsia="Times New Roman" w:hAnsi="Times New Roman" w:cs="Times New Roman"/>
        </w:rPr>
        <w:t>1</w:t>
      </w:r>
      <w:commentRangeEnd w:id="590"/>
      <w:sdt>
        <w:sdtPr>
          <w:tag w:val="goog_rdk_366"/>
          <w:id w:val="662126749"/>
        </w:sdtPr>
        <w:sdtContent>
          <w:ins w:id="591" w:author="Giorgi Kobaladze" w:date="2020-07-17T06:48:00Z">
            <w:r>
              <w:commentReference w:id="590"/>
            </w:r>
            <w:r>
              <w:rPr>
                <w:rFonts w:ascii="Times New Roman" w:eastAsia="Times New Roman" w:hAnsi="Times New Roman" w:cs="Times New Roman"/>
              </w:rPr>
              <w:t xml:space="preserve"> On Approval of Technical Regulation on the Construction, Operation, Closure and After-care of Landfills </w:t>
            </w:r>
          </w:ins>
        </w:sdtContent>
      </w:sdt>
      <w:r>
        <w:rPr>
          <w:rFonts w:ascii="Times New Roman" w:eastAsia="Times New Roman" w:hAnsi="Times New Roman" w:cs="Times New Roman"/>
        </w:rPr>
        <w:t>banns disposal of the hazardous medical waste in municipal landfills, requiring its deactivation/destruction through incineration or autoclaving. Few medical facilities have inhouse incinerators or autoclaves and use waste collection, transportation and treatment services of private companies. A few privately-owned medical waste incinerators are insufficient for treating volumes of medical waste generated in the country. Incineration practices applied by these facilities do not meet good international practice and the EU standards.</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w:t>
      </w:r>
      <w:sdt>
        <w:sdtPr>
          <w:tag w:val="goog_rdk_367"/>
          <w:id w:val="-1224439857"/>
        </w:sdtPr>
        <w:sdtContent>
          <w:commentRangeStart w:id="594"/>
        </w:sdtContent>
      </w:sdt>
      <w:r>
        <w:rPr>
          <w:rFonts w:ascii="Times New Roman" w:eastAsia="Times New Roman" w:hAnsi="Times New Roman" w:cs="Times New Roman"/>
        </w:rPr>
        <w:t>Part of hazardous medical waste ends up at the municipal landfills due to lack of capacity and infrastructure to handle it otherwise.</w:t>
      </w:r>
      <w:commentRangeEnd w:id="594"/>
      <w:r>
        <w:commentReference w:id="594"/>
      </w:r>
    </w:p>
    <w:p w14:paraId="00000190" w14:textId="77777777" w:rsidR="009F1887" w:rsidRDefault="009F1887">
      <w:pPr>
        <w:spacing w:after="160"/>
        <w:jc w:val="both"/>
        <w:rPr>
          <w:rFonts w:ascii="Times New Roman" w:eastAsia="Times New Roman" w:hAnsi="Times New Roman" w:cs="Times New Roman"/>
        </w:rPr>
      </w:pPr>
    </w:p>
    <w:p w14:paraId="00000191" w14:textId="77777777" w:rsidR="009F1887" w:rsidRDefault="00790D5B">
      <w:pPr>
        <w:pStyle w:val="Heading2"/>
        <w:numPr>
          <w:ilvl w:val="1"/>
          <w:numId w:val="66"/>
        </w:numPr>
        <w:spacing w:after="240"/>
      </w:pPr>
      <w:bookmarkStart w:id="595" w:name="_heading=h.35nkun2" w:colFirst="0" w:colLast="0"/>
      <w:bookmarkEnd w:id="595"/>
      <w:r>
        <w:t>Socio-Economic Characteristics</w:t>
      </w:r>
    </w:p>
    <w:p w14:paraId="00000192" w14:textId="77777777" w:rsidR="009F1887" w:rsidRDefault="00790D5B">
      <w:pPr>
        <w:spacing w:after="240"/>
        <w:jc w:val="both"/>
        <w:rPr>
          <w:rFonts w:ascii="Times New Roman" w:eastAsia="Times New Roman" w:hAnsi="Times New Roman" w:cs="Times New Roman"/>
          <w:b/>
        </w:rPr>
      </w:pPr>
      <w:r>
        <w:rPr>
          <w:rFonts w:ascii="Times New Roman" w:eastAsia="Times New Roman" w:hAnsi="Times New Roman" w:cs="Times New Roman"/>
          <w:b/>
        </w:rPr>
        <w:t xml:space="preserve">Population. </w:t>
      </w:r>
      <w:r>
        <w:rPr>
          <w:rFonts w:ascii="Times New Roman" w:eastAsia="Times New Roman" w:hAnsi="Times New Roman" w:cs="Times New Roman"/>
        </w:rPr>
        <w:t>The population of Georgia has significantly decreased in the last 25 years due to intense out-migration. The current population is approximately 3.7 million, with 52 percent female and 48 percent male population. 41 percent of the population lives in rural areas and 59 percent lives in urban areas. 32 percent of the total population is concentrated in the capital city of Tbilisi</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w:t>
      </w:r>
      <w:r>
        <w:rPr>
          <w:rFonts w:ascii="Times New Roman" w:eastAsia="Times New Roman" w:hAnsi="Times New Roman" w:cs="Times New Roman"/>
          <w:b/>
        </w:rPr>
        <w:t xml:space="preserve"> </w:t>
      </w:r>
    </w:p>
    <w:p w14:paraId="00000193"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rPr>
        <w:t xml:space="preserve">(include </w:t>
      </w:r>
      <w:sdt>
        <w:sdtPr>
          <w:tag w:val="goog_rdk_368"/>
          <w:id w:val="1777903225"/>
        </w:sdtPr>
        <w:sdtContent>
          <w:commentRangeStart w:id="596"/>
        </w:sdtContent>
      </w:sdt>
      <w:sdt>
        <w:sdtPr>
          <w:tag w:val="goog_rdk_369"/>
          <w:id w:val="-768920486"/>
        </w:sdtPr>
        <w:sdtContent>
          <w:commentRangeStart w:id="597"/>
        </w:sdtContent>
      </w:sdt>
      <w:r>
        <w:rPr>
          <w:rFonts w:ascii="Times New Roman" w:eastAsia="Times New Roman" w:hAnsi="Times New Roman" w:cs="Times New Roman"/>
          <w:highlight w:val="yellow"/>
        </w:rPr>
        <w:t>information on disadvantaged and vulnerable groups, if any, who may be affected by the project, either because they are disproportionately impacted, or because they are restricted in accessing the benefits of the project).</w:t>
      </w:r>
      <w:r>
        <w:rPr>
          <w:rFonts w:ascii="Times New Roman" w:eastAsia="Times New Roman" w:hAnsi="Times New Roman" w:cs="Times New Roman"/>
        </w:rPr>
        <w:t xml:space="preserve"> </w:t>
      </w:r>
      <w:commentRangeEnd w:id="596"/>
      <w:r>
        <w:commentReference w:id="596"/>
      </w:r>
      <w:commentRangeEnd w:id="597"/>
      <w:r>
        <w:commentReference w:id="597"/>
      </w:r>
    </w:p>
    <w:p w14:paraId="00000194" w14:textId="77777777" w:rsidR="009F1887" w:rsidRDefault="00790D5B">
      <w:pPr>
        <w:spacing w:before="240" w:after="240"/>
        <w:jc w:val="both"/>
        <w:rPr>
          <w:rFonts w:ascii="Times New Roman" w:eastAsia="Times New Roman" w:hAnsi="Times New Roman" w:cs="Times New Roman"/>
        </w:rPr>
      </w:pPr>
      <w:r>
        <w:rPr>
          <w:rFonts w:ascii="Times New Roman" w:eastAsia="Times New Roman" w:hAnsi="Times New Roman" w:cs="Times New Roman"/>
        </w:rPr>
        <w:t>The project impacts may disproportionately fall on disadvantaged or vulnerable individuals or groups. The vulnerability may stem from a person’s gender, age, health condition, disability, ethnic/language background, economic deficiency and financial insecurity, or other circumstances, for example being single parents, being a caregiver of elderly or persons with disabilities, etc.</w:t>
      </w:r>
    </w:p>
    <w:p w14:paraId="00000195" w14:textId="77777777" w:rsidR="009F1887" w:rsidRDefault="00790D5B">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Within the Project, the vulnerable or disadvantaged groups include and are not limited to the following:</w:t>
      </w:r>
    </w:p>
    <w:p w14:paraId="00000196" w14:textId="77777777" w:rsidR="009F1887" w:rsidRDefault="00790D5B">
      <w:pPr>
        <w:numPr>
          <w:ilvl w:val="0"/>
          <w:numId w:val="37"/>
        </w:numPr>
        <w:spacing w:before="240" w:after="0"/>
        <w:jc w:val="both"/>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Elderly</w:t>
      </w:r>
    </w:p>
    <w:p w14:paraId="00000197" w14:textId="77777777" w:rsidR="009F1887" w:rsidRDefault="00790D5B">
      <w:pPr>
        <w:numPr>
          <w:ilvl w:val="0"/>
          <w:numId w:val="37"/>
        </w:numPr>
        <w:spacing w:after="0" w:line="247" w:lineRule="auto"/>
        <w:jc w:val="both"/>
        <w:rPr>
          <w:rFonts w:ascii="Times New Roman" w:eastAsia="Times New Roman" w:hAnsi="Times New Roman" w:cs="Times New Roman"/>
        </w:rPr>
      </w:pPr>
      <w:r>
        <w:rPr>
          <w:rFonts w:ascii="Times New Roman" w:eastAsia="Times New Roman" w:hAnsi="Times New Roman" w:cs="Times New Roman"/>
        </w:rPr>
        <w:t>Individuals with chronic diseases and pre-existing medical conditions; pregnant women</w:t>
      </w:r>
    </w:p>
    <w:p w14:paraId="00000198"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People with disabilities</w:t>
      </w:r>
    </w:p>
    <w:p w14:paraId="00000199"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Persons residing in and employed in state institutions/boarding houses for persons with disabilities, public orphanages and nursing homes</w:t>
      </w:r>
    </w:p>
    <w:p w14:paraId="0000019A"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Internally displaced persons and refugees</w:t>
      </w:r>
    </w:p>
    <w:p w14:paraId="0000019B"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Pregnant women</w:t>
      </w:r>
    </w:p>
    <w:p w14:paraId="0000019C"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Women, girls and female headed households</w:t>
      </w:r>
    </w:p>
    <w:p w14:paraId="0000019D"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Children</w:t>
      </w:r>
    </w:p>
    <w:p w14:paraId="0000019E"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Daily wage earners and persons employed in informal, temporary, seasonal jobs</w:t>
      </w:r>
    </w:p>
    <w:p w14:paraId="0000019F"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Those living below poverty line</w:t>
      </w:r>
    </w:p>
    <w:p w14:paraId="000001A0"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Unemployed</w:t>
      </w:r>
    </w:p>
    <w:p w14:paraId="000001A1" w14:textId="77777777" w:rsidR="009F1887" w:rsidRDefault="00790D5B">
      <w:pPr>
        <w:numPr>
          <w:ilvl w:val="0"/>
          <w:numId w:val="37"/>
        </w:numPr>
        <w:spacing w:after="0"/>
        <w:jc w:val="both"/>
        <w:rPr>
          <w:rFonts w:ascii="Times New Roman" w:eastAsia="Times New Roman" w:hAnsi="Times New Roman" w:cs="Times New Roman"/>
        </w:rPr>
      </w:pPr>
      <w:r>
        <w:rPr>
          <w:rFonts w:ascii="Times New Roman" w:eastAsia="Times New Roman" w:hAnsi="Times New Roman" w:cs="Times New Roman"/>
        </w:rPr>
        <w:t>Homeless</w:t>
      </w:r>
    </w:p>
    <w:p w14:paraId="000001A2" w14:textId="77777777" w:rsidR="009F1887" w:rsidRDefault="00790D5B">
      <w:pPr>
        <w:numPr>
          <w:ilvl w:val="0"/>
          <w:numId w:val="37"/>
        </w:numPr>
        <w:spacing w:after="0" w:line="247" w:lineRule="auto"/>
        <w:jc w:val="both"/>
        <w:rPr>
          <w:rFonts w:ascii="Times New Roman" w:eastAsia="Times New Roman" w:hAnsi="Times New Roman" w:cs="Times New Roman"/>
        </w:rPr>
      </w:pPr>
      <w:r>
        <w:rPr>
          <w:rFonts w:ascii="Times New Roman" w:eastAsia="Times New Roman" w:hAnsi="Times New Roman" w:cs="Times New Roman"/>
        </w:rPr>
        <w:t>Communities in remote, high mountainous and inaccessible areas</w:t>
      </w:r>
    </w:p>
    <w:p w14:paraId="000001A3" w14:textId="77777777" w:rsidR="009F1887" w:rsidRDefault="00790D5B">
      <w:pPr>
        <w:numPr>
          <w:ilvl w:val="0"/>
          <w:numId w:val="37"/>
        </w:numPr>
        <w:spacing w:after="0" w:line="247" w:lineRule="auto"/>
        <w:jc w:val="both"/>
        <w:rPr>
          <w:rFonts w:ascii="Times New Roman" w:eastAsia="Times New Roman" w:hAnsi="Times New Roman" w:cs="Times New Roman"/>
        </w:rPr>
      </w:pPr>
      <w:r>
        <w:rPr>
          <w:rFonts w:ascii="Times New Roman" w:eastAsia="Times New Roman" w:hAnsi="Times New Roman" w:cs="Times New Roman"/>
        </w:rPr>
        <w:t>Communities living in neglected urban settlements</w:t>
      </w:r>
    </w:p>
    <w:p w14:paraId="000001A4" w14:textId="77777777" w:rsidR="009F1887" w:rsidRDefault="00790D5B">
      <w:pPr>
        <w:numPr>
          <w:ilvl w:val="0"/>
          <w:numId w:val="37"/>
        </w:numPr>
        <w:spacing w:after="240"/>
        <w:jc w:val="both"/>
      </w:pPr>
      <w:r>
        <w:t>Ethnic minorities (particularly those who are not fluent in the national language).</w:t>
      </w:r>
    </w:p>
    <w:p w14:paraId="000001A5" w14:textId="77777777" w:rsidR="009F1887" w:rsidRDefault="00790D5B">
      <w:pPr>
        <w:spacing w:after="240"/>
        <w:jc w:val="both"/>
        <w:rPr>
          <w:rFonts w:ascii="Times New Roman" w:eastAsia="Times New Roman" w:hAnsi="Times New Roman" w:cs="Times New Roman"/>
          <w:b/>
        </w:rPr>
      </w:pPr>
      <w:r>
        <w:rPr>
          <w:rFonts w:ascii="Times New Roman" w:eastAsia="Times New Roman" w:hAnsi="Times New Roman" w:cs="Times New Roman"/>
          <w:b/>
        </w:rPr>
        <w:t xml:space="preserve">Economy and Employment. </w:t>
      </w:r>
      <w:r>
        <w:rPr>
          <w:rFonts w:ascii="Times New Roman" w:eastAsia="Times New Roman" w:hAnsi="Times New Roman" w:cs="Times New Roman"/>
        </w:rPr>
        <w:t>Georgia’s GDP per capita growth for the last ten years was on average 4.8 percent per year. Georgia has adopted a system of targeted social transfers, which led to nearly halving the poverty rate from 37.4 percent in 2007 to 20.1 percent in 2018 and to improve living conditions.</w:t>
      </w:r>
      <w:r>
        <w:rPr>
          <w:rFonts w:ascii="Times New Roman" w:eastAsia="Times New Roman" w:hAnsi="Times New Roman" w:cs="Times New Roman"/>
          <w:vertAlign w:val="superscript"/>
        </w:rPr>
        <w:footnoteReference w:id="34"/>
      </w:r>
      <w:r>
        <w:rPr>
          <w:rFonts w:ascii="Times New Roman" w:eastAsia="Times New Roman" w:hAnsi="Times New Roman" w:cs="Times New Roman"/>
        </w:rPr>
        <w:t xml:space="preserve"> The largest economic sectors are manufacturing (18.3 percent) and construction (12.6 percent). Agriculture accounts only for 6.3 percent of the economy, while 38.1 percent of the workforce is employed in the sector. However, most of the employment in agriculture consists of subsistence farming.</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The total workforce in the country is about 1.7 million, of which 50.3 percent is hired and 49.7% is self-employed. Unemployment rate is 11.6 percent, but there is significant difference between urban unemployment rate (17.4 percent) and rural unemployment rate (5.5 percent). This is due to the subsistence farming being counted as employment. According to the data of Geostat, in 2018 the share of women in the total number of employed was 47%, while the share of men was 53%. In 2019 The number of employed women decreased by 0.3% and for men decreased by 0.1%.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sdt>
        <w:sdtPr>
          <w:tag w:val="goog_rdk_370"/>
          <w:id w:val="53288601"/>
        </w:sdtPr>
        <w:sdtContent>
          <w:commentRangeStart w:id="598"/>
        </w:sdtContent>
      </w:sdt>
      <w:r>
        <w:rPr>
          <w:rFonts w:ascii="Times New Roman" w:eastAsia="Times New Roman" w:hAnsi="Times New Roman" w:cs="Times New Roman"/>
          <w:b/>
          <w:highlight w:val="yellow"/>
        </w:rPr>
        <w:t>add</w:t>
      </w:r>
      <w:commentRangeEnd w:id="598"/>
      <w:r>
        <w:commentReference w:id="598"/>
      </w:r>
      <w:r>
        <w:rPr>
          <w:rFonts w:ascii="Times New Roman" w:eastAsia="Times New Roman" w:hAnsi="Times New Roman" w:cs="Times New Roman"/>
          <w:b/>
          <w:highlight w:val="yellow"/>
        </w:rPr>
        <w:t xml:space="preserve"> employment by gender data</w:t>
      </w:r>
      <w:r>
        <w:rPr>
          <w:rFonts w:ascii="Times New Roman" w:eastAsia="Times New Roman" w:hAnsi="Times New Roman" w:cs="Times New Roman"/>
          <w:b/>
        </w:rPr>
        <w:t>)</w:t>
      </w:r>
    </w:p>
    <w:p w14:paraId="000001A6" w14:textId="77777777" w:rsidR="009F1887" w:rsidRDefault="00790D5B">
      <w:pPr>
        <w:spacing w:after="240"/>
        <w:ind w:left="1440"/>
        <w:jc w:val="both"/>
        <w:rPr>
          <w:rFonts w:ascii="Times New Roman" w:eastAsia="Times New Roman" w:hAnsi="Times New Roman" w:cs="Times New Roman"/>
          <w:b/>
        </w:rPr>
      </w:pPr>
      <w:r>
        <w:rPr>
          <w:rFonts w:ascii="Times New Roman" w:eastAsia="Times New Roman" w:hAnsi="Times New Roman" w:cs="Times New Roman"/>
          <w:b/>
        </w:rPr>
        <w:t>Figure 1 Indicators of the economic activity of the population</w:t>
      </w:r>
    </w:p>
    <w:p w14:paraId="000001A7"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rPr>
        <w:t xml:space="preserve">Social Protection. </w:t>
      </w:r>
      <w:r>
        <w:rPr>
          <w:rFonts w:ascii="Times New Roman" w:eastAsia="Times New Roman" w:hAnsi="Times New Roman" w:cs="Times New Roman"/>
        </w:rPr>
        <w:t xml:space="preserve">Georgia has a comprehensive social protection system, which played a key role in protecting the poorest in the past decade. Social protection includes a universal social pension for people over 65 years old, the TSA (including the child benefit introduced in 2015), benefits and services for IDPs from the occupied territories, social rehabilitation for persons with disabilities, benefits and services for war veterans, benefits and services for the protection of vulnerable children, and a myriad of social benefits administered at the local level (including health exemptions, education exemptions, housing benefits, and </w:t>
      </w:r>
      <w:r>
        <w:rPr>
          <w:rFonts w:ascii="Times New Roman" w:eastAsia="Times New Roman" w:hAnsi="Times New Roman" w:cs="Times New Roman"/>
        </w:rPr>
        <w:lastRenderedPageBreak/>
        <w:t xml:space="preserve">energy and transportation subsidies). A newly implemented 2019 pension law complemented the flat universal pension, including a benefit of approximately 18 percent of the average monthly income, with a contributory pension savings system. Compared to other countries in the region and globally, Georgia stands out for its high spending on social assistance (about 6% of GDP), mostly accounted for by the non-contributory old-age social pensions and the TSA. </w:t>
      </w:r>
    </w:p>
    <w:p w14:paraId="000001A8"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The TSA is the flagship social assistance program targeted to extremely poor households. The TSA has been considered one of the most successful programs in Eastern Europe and Central Asia in terms of coverage of the poor, targeting accuracy, and poverty impact. Established in 2005, the TSA provides a monthly cash transfer to poor households identified through a proxy means test (PMT) assessment. After the old-age pensions, the TSA is Georgia’s largest social protection program in terms of both spending and coverage. As of March 2020, TSA covered about 11 percent of Georgia’s population, and an additional 2% was covered by the child allowance. In 2018, TSA and the child support scheme jointly covered 40 percent of households in the poorest quintile44 (HIES 2018). In the past it was estimated that the TSA had lifted 6 percent of the population out of extreme poverty, lowering the poverty rate from 9.7 to 3.9 percent. A recent analysis suggests that the TSA benefit package does not generate work disincentives.</w:t>
      </w:r>
    </w:p>
    <w:p w14:paraId="000001A9" w14:textId="77777777" w:rsidR="009F1887" w:rsidRDefault="00790D5B">
      <w:pPr>
        <w:jc w:val="both"/>
        <w:rPr>
          <w:rFonts w:ascii="Times New Roman" w:eastAsia="Times New Roman" w:hAnsi="Times New Roman" w:cs="Times New Roman"/>
          <w:b/>
        </w:rPr>
      </w:pPr>
      <w:r>
        <w:rPr>
          <w:rFonts w:ascii="Times New Roman" w:eastAsia="Times New Roman" w:hAnsi="Times New Roman" w:cs="Times New Roman"/>
        </w:rPr>
        <w:t xml:space="preserve">In April 2020, 475, 000 persons in the country were qualified to received Targeted Social Assistance (TSA). This 12.7% of the total population. There are about 35, 000 officially registered persons with disabilities and 770, 000 age-pension receivers in the country. </w:t>
      </w:r>
    </w:p>
    <w:p w14:paraId="000001AA"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rPr>
        <w:t xml:space="preserve">Healthcare. </w:t>
      </w:r>
      <w:r>
        <w:rPr>
          <w:rFonts w:ascii="Times New Roman" w:eastAsia="Times New Roman" w:hAnsi="Times New Roman" w:cs="Times New Roman"/>
        </w:rPr>
        <w:t>Georgia is an upper-middle-income country according to the World Bank classification. Over the past decade the country has achieved significant economic growth at an average annual rate of 4,5% and a decline in poverty rates from 36.9% in 2006 to 20.1% in 2018. In 2019 Georgia’s population was estimated at 3.72 million. Noncommunicable diseases remain the major challenge of the country, with 93% of mortality in Georgia being attributable to Non-Communicable Diseases (NCDs) (led by diseases of cardio-vascular system and cancer).  Prevalence of smoking, alcohol use and obesity are still showing an upward trend. The country is losing 2,4% of its Gross Domestic Product (GDP) due to tobacco related death, disability, productivity loss and other burden. NCDs prevention and control in PHC settings is suboptimal.</w:t>
      </w:r>
    </w:p>
    <w:p w14:paraId="000001AB"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In the wake of COVID-19 pandemic, Georgia has already been facing many challenges also in the area of communicable diseases, with insufficient adherence to TB treatment for which sustainable linkage between non-state actors - private clinics, NGOs and other civil society is needed. HIV epidemic is largely concentrated among high risk groups, with a critical challenge of low detection rate and late diagnosis. The Hepatitis C Elimination Programme is a success under an integrated approach (tackling also HIV and TB) and reaching nation-wide coverage. In 2018-2019 Georgia was seriously affected by the measles outbreak, being among 3 countries in the region with highest incidence per million of population, and Georgia is among 10 countries still endemic for measles. Antimicrobial Resistance (AMR) persists an issue of increased concern, despite recently endorsed National AMR Strategy, sub-optimal AMR surveillance and little use of diagnostic support for treatment decisions remains an issue. </w:t>
      </w:r>
    </w:p>
    <w:p w14:paraId="000001AC"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Universal Health Coverage (UHC) Programme, that came into force on 28 February 2013, with over 90% of the resident population entitled to a tightly defined package of state-funded benefits, substantially increased access to quality care. Nevertheless, public health expenditure remains relatively low (2.9 percent </w:t>
      </w:r>
      <w:r>
        <w:rPr>
          <w:rFonts w:ascii="Times New Roman" w:eastAsia="Times New Roman" w:hAnsi="Times New Roman" w:cs="Times New Roman"/>
        </w:rPr>
        <w:lastRenderedPageBreak/>
        <w:t>of GDP) and out-of-pocket spending as a percentage of total health expenditure remains very high (54% in 2018). In July 2017, the package of benefits expanded for the vulnerable households, pensioners, veterans, disabled persons, and covers essential medicines.</w:t>
      </w:r>
    </w:p>
    <w:p w14:paraId="000001AD"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The Government of Georgia has endorsed nationalized Sustainable Development Goals (SDGs) that include all 17 SDGs, and the United Nations have signed with the Government the UN Partnership for Sustainable Development 2016 – 2020, with 5 focus areas: 1. Democratic governance; 2. Jobs, livelihood and social protection; 3. Education; 4. Health; 5. Human security and community resilience. A Mainstreaming, Acceleration and Policy Support (MAPS) mission and meeting took place in April 2019. The health-related SDGs desk review resulted in draft Health and Sustainable Development report.</w:t>
      </w:r>
    </w:p>
    <w:p w14:paraId="000001AE"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i/>
        </w:rPr>
        <w:t>Vision for Developing the Healthcare System in Georgia by 2030</w:t>
      </w:r>
      <w:r>
        <w:rPr>
          <w:rFonts w:ascii="Times New Roman" w:eastAsia="Times New Roman" w:hAnsi="Times New Roman" w:cs="Times New Roman"/>
        </w:rPr>
        <w:t xml:space="preserve"> has been produced under the EU-supported initiative of the Parliament of Georgia to produce a long-term vision vis-à-vis the development of the healthcare sector in the country (Strengthening the System of Parliamentary Democracy in Georgia project, 2017)</w:t>
      </w:r>
      <w:r>
        <w:rPr>
          <w:rFonts w:ascii="Times New Roman" w:eastAsia="Times New Roman" w:hAnsi="Times New Roman" w:cs="Times New Roman"/>
          <w:vertAlign w:val="superscript"/>
        </w:rPr>
        <w:footnoteReference w:id="36"/>
      </w:r>
      <w:r>
        <w:rPr>
          <w:rFonts w:ascii="Times New Roman" w:eastAsia="Times New Roman" w:hAnsi="Times New Roman" w:cs="Times New Roman"/>
        </w:rPr>
        <w:t>.</w:t>
      </w:r>
    </w:p>
    <w:p w14:paraId="000001AF"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To mitigate COVID-19, the Government of Georgia took early steps. It initiated an effective multi-sectoral response to COVID-19 at the earliest stage. In January 2020, the Government adopted Decree #164 on the Approval of Measures to Prevent the Possible Spread of the New Coronavirus in Georgia and Approval of an Emergency Response Plan for Cases Caused by COVID-19 (amended on April 1, 2020, with the Government of Georgia Decree #625) and established a national multi-sectoral committee. Under the Operational Response Plan approved by the Government of Georgia, each line ministry and Government entity has clearly defined roles and responsibilities at every stage of the COVID-19 response. A state of emergency was declared on March 21, 2020, after the first cases of COVID-19 was confirmed on February 26, 2020. </w:t>
      </w:r>
    </w:p>
    <w:p w14:paraId="000001B0"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On January 31, 2020, Georgia adopted the case definition of COVID-19 and intensified epidemiological surveillance throughout the country. On March 2, 2020, the Government Reserve Fund allocated GEL 1 million (US$358,358 equivalent) to the MoILHSA to respond to the challenge of the new coronavirus in Georgia. The Government also scaled up its communication efforts by establishing a unified hotline and an informational platform (StopCov.ge is a web site available in five languages with all necessary governmental links and related information). In addition, on April 16, 2020, the Government launched the STOP COVID contact tracing app, which has been used in Japan, South Korea, and Singapore. Many reputable international media sources (e.g. The Washington Times, etc.) covered Georgia’s story as a success battle against COVID-19. </w:t>
      </w:r>
    </w:p>
    <w:p w14:paraId="000001B1"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On April 24, the Government presented its anti-crisis economic plan. This six phases plan designed to slowly get businesses up and running again, gradually open the economy, yet monitoring very closely the epidemiological situation in the country as well as globally. Since the epidemiological situation in Georgia is stabilizing, it is still essential as the country is proceeding on accelerated initiatives of increasing lab network in the regions of the country and adopt specific screening initiatives among couple of hot-spots and risk-groups against post-crisis reopening of touristic active sites and transport hubs. The National Centre of Disease Control and Public Health is the key agency under the MoILHSA to guide further the </w:t>
      </w:r>
      <w:r>
        <w:rPr>
          <w:rFonts w:ascii="Times New Roman" w:eastAsia="Times New Roman" w:hAnsi="Times New Roman" w:cs="Times New Roman"/>
        </w:rPr>
        <w:lastRenderedPageBreak/>
        <w:t xml:space="preserve">national algorithm of testing and hierarchy of collection and transporting the samples among specialized network of testing facilities. Separate holistic plan for the health sector that will enable the system to address potential second wave of the COVID -19 as well as strengthen the system in a way that it can cope with any other hypothetical threats is under development. </w:t>
      </w:r>
    </w:p>
    <w:p w14:paraId="000001B2"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b/>
        </w:rPr>
        <w:t xml:space="preserve">Gender-based Violence (GBV). </w:t>
      </w:r>
      <w:r>
        <w:rPr>
          <w:rFonts w:ascii="Times New Roman" w:eastAsia="Times New Roman" w:hAnsi="Times New Roman" w:cs="Times New Roman"/>
          <w:color w:val="000000"/>
        </w:rPr>
        <w:t>According to the recent World Bank survey</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xml:space="preserve"> (2017), 27 percent of female respondents reported being exposed to GBV including 16.3 percent being a survivor of at least one type of sexual abuse (sexual harassment, sexual violence, or both) and 8 percent of women reported experiencing physical violence. Furthermore, nearly 5 percent of women, respectively, indicate that they have been forced to give up all or part of their income to a spouse against their will or to give up a job because their partner wanted them to”.  Women with worse housing conditions reported higher exposure to sexual harassment and sexual violence. </w:t>
      </w:r>
      <w:r>
        <w:rPr>
          <w:rFonts w:ascii="Times New Roman" w:eastAsia="Times New Roman" w:hAnsi="Times New Roman" w:cs="Times New Roman"/>
        </w:rPr>
        <w:t xml:space="preserve">At workplace any, sexual harassment is classified as a form of discrimination - </w:t>
      </w:r>
      <w:r>
        <w:rPr>
          <w:rFonts w:ascii="Times New Roman" w:eastAsia="Times New Roman" w:hAnsi="Times New Roman" w:cs="Times New Roman"/>
          <w:color w:val="2C2F34"/>
          <w:highlight w:val="white"/>
        </w:rPr>
        <w:t>“an unwelcome sexual conduct aiming at/or causing intimidating, hostile, humiliating or degrading environment.”</w:t>
      </w:r>
      <w:r>
        <w:rPr>
          <w:rFonts w:ascii="Times New Roman" w:eastAsia="Times New Roman" w:hAnsi="Times New Roman" w:cs="Times New Roman"/>
        </w:rPr>
        <w:t xml:space="preserve"> Public Defender (</w:t>
      </w:r>
      <w:r>
        <w:rPr>
          <w:rFonts w:ascii="Times New Roman" w:eastAsia="Times New Roman" w:hAnsi="Times New Roman" w:cs="Times New Roman"/>
          <w:color w:val="444444"/>
          <w:highlight w:val="white"/>
        </w:rPr>
        <w:t>mandated to receive and examine alleged cases of sexual harassment, seek explanations from employers, issue recommendations and, if decided that recommendations have not been fulfilled, refer the cases to court</w:t>
      </w:r>
      <w:r>
        <w:rPr>
          <w:rFonts w:ascii="Times New Roman" w:eastAsia="Times New Roman" w:hAnsi="Times New Roman" w:cs="Times New Roman"/>
        </w:rPr>
        <w:t>) and employer (ensures free of SH workplace, fulfil recommendations of the Public Defender) have monitoring and controlling responsibilities.</w:t>
      </w:r>
    </w:p>
    <w:p w14:paraId="000001B3" w14:textId="77777777" w:rsidR="009F1887" w:rsidRDefault="009F1887">
      <w:pPr>
        <w:spacing w:after="240"/>
        <w:jc w:val="both"/>
        <w:rPr>
          <w:rFonts w:ascii="Times New Roman" w:eastAsia="Times New Roman" w:hAnsi="Times New Roman" w:cs="Times New Roman"/>
        </w:rPr>
      </w:pPr>
    </w:p>
    <w:p w14:paraId="000001B4" w14:textId="77777777" w:rsidR="009F1887" w:rsidRDefault="00790D5B">
      <w:pPr>
        <w:pStyle w:val="Heading2"/>
        <w:numPr>
          <w:ilvl w:val="0"/>
          <w:numId w:val="66"/>
        </w:numPr>
        <w:spacing w:after="240"/>
        <w:rPr>
          <w:sz w:val="22"/>
          <w:szCs w:val="22"/>
        </w:rPr>
      </w:pPr>
      <w:bookmarkStart w:id="601" w:name="_heading=h.1ksv4uv" w:colFirst="0" w:colLast="0"/>
      <w:bookmarkEnd w:id="601"/>
      <w:r>
        <w:rPr>
          <w:sz w:val="22"/>
          <w:szCs w:val="22"/>
        </w:rPr>
        <w:t>Potential Environmental and Social Risks and Their Mitigation</w:t>
      </w:r>
    </w:p>
    <w:p w14:paraId="000001B5" w14:textId="77777777" w:rsidR="009F1887" w:rsidRDefault="00790D5B">
      <w:pPr>
        <w:pStyle w:val="Heading2"/>
        <w:numPr>
          <w:ilvl w:val="1"/>
          <w:numId w:val="66"/>
        </w:numPr>
        <w:spacing w:after="240"/>
        <w:rPr>
          <w:sz w:val="22"/>
          <w:szCs w:val="22"/>
        </w:rPr>
      </w:pPr>
      <w:bookmarkStart w:id="602" w:name="_heading=h.44sinio" w:colFirst="0" w:colLast="0"/>
      <w:bookmarkEnd w:id="602"/>
      <w:r>
        <w:rPr>
          <w:sz w:val="22"/>
          <w:szCs w:val="22"/>
        </w:rPr>
        <w:t>Overview of Risks and Mitigation Measures</w:t>
      </w:r>
    </w:p>
    <w:p w14:paraId="000001B6"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Environmental and Social risks associated with the Georgia Emergency COVID-19 Response Project are considered to be Substantial. Physical works to be financed are confined to small to medium scale interior rehabilitation, refurbishment and retrofitting of the existing buildings, excluding extensions and new construction. No tangible negative environmental impacts are expected from these works; however, occupational health and safety of workers will require close attention. Greater occupational health and safety risks will be faced by medical and laboratory staff of project beneficiary facilities handing COVID cases as well as by support staff and utility service providers involved in collection, transportation, and disposal of medical waste. General shortcomings of Georgia’s waste management infrastructure are a concern, especially in the areas outside the capital city of Tbilisi. Difficulties may arise in delivering temporary social assistance to vulnerable groups during COVID-19 constrains on mobility of people and reduced capacity of public offices and these is a risk of excluding eligible beneficiaries, especially informal workers, from the temporary social assistance scheme. </w:t>
      </w:r>
    </w:p>
    <w:p w14:paraId="000001B7"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MoILHSA established a Project Implementation Unit (PIU), comprised of public servants and external consultants, to undertake day-to-day administration of the project, including risk management. ESS 1, ESS 2, ESS 3, ESS 4, and ESS 10 are relevant for the project and will be followed to avoid, minimize or mitigate </w:t>
      </w:r>
      <w:r>
        <w:rPr>
          <w:rFonts w:ascii="Times New Roman" w:eastAsia="Times New Roman" w:hAnsi="Times New Roman" w:cs="Times New Roman"/>
        </w:rPr>
        <w:lastRenderedPageBreak/>
        <w:t>environmental and social risks. Following these ESSs, MIHLSA prepared the following environmental and social management instruments:</w:t>
      </w:r>
    </w:p>
    <w:p w14:paraId="000001B8"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rPr>
        <w:t>ESS 1 - Assessment and Management of Environmental and Social Risks and Impacts</w:t>
      </w:r>
      <w:r>
        <w:rPr>
          <w:rFonts w:ascii="Times New Roman" w:eastAsia="Times New Roman" w:hAnsi="Times New Roman" w:cs="Times New Roman"/>
        </w:rPr>
        <w:t xml:space="preserve">. The project will have positive environmental and social impacts as it should improve COVID-19 surveillance, monitoring, and containment as well as provide targeted support for the more vulnerable households. However, significant risks exist during various stages of the project cycle. To manage these risks, the MoILHSA prepared the following environmental and social management tools: </w:t>
      </w:r>
    </w:p>
    <w:p w14:paraId="000001B9" w14:textId="77777777" w:rsidR="009F1887" w:rsidRDefault="00790D5B">
      <w:pPr>
        <w:numPr>
          <w:ilvl w:val="1"/>
          <w:numId w:val="16"/>
        </w:numPr>
        <w:spacing w:after="240"/>
        <w:ind w:left="180"/>
        <w:jc w:val="both"/>
        <w:rPr>
          <w:rFonts w:ascii="Times New Roman" w:eastAsia="Times New Roman" w:hAnsi="Times New Roman" w:cs="Times New Roman"/>
        </w:rPr>
      </w:pPr>
      <w:bookmarkStart w:id="603" w:name="_heading=h.2jxsxqh" w:colFirst="0" w:colLast="0"/>
      <w:bookmarkEnd w:id="603"/>
      <w:r>
        <w:rPr>
          <w:rFonts w:ascii="Times New Roman" w:eastAsia="Times New Roman" w:hAnsi="Times New Roman" w:cs="Times New Roman"/>
        </w:rPr>
        <w:t xml:space="preserve">This </w:t>
      </w:r>
      <w:r>
        <w:rPr>
          <w:rFonts w:ascii="Times New Roman" w:eastAsia="Times New Roman" w:hAnsi="Times New Roman" w:cs="Times New Roman"/>
          <w:b/>
          <w:i/>
        </w:rPr>
        <w:t>Environmental and social management framework</w:t>
      </w:r>
      <w:r>
        <w:rPr>
          <w:rFonts w:ascii="Times New Roman" w:eastAsia="Times New Roman" w:hAnsi="Times New Roman" w:cs="Times New Roman"/>
        </w:rPr>
        <w:t xml:space="preserve">, which includes templates for developing site-specific ESMPs </w:t>
      </w:r>
      <w:r>
        <w:rPr>
          <w:rFonts w:ascii="Times New Roman" w:eastAsia="Times New Roman" w:hAnsi="Times New Roman" w:cs="Times New Roman"/>
          <w:color w:val="FF0000"/>
        </w:rPr>
        <w:t>(Annex III)</w:t>
      </w:r>
      <w:r>
        <w:rPr>
          <w:rFonts w:ascii="Times New Roman" w:eastAsia="Times New Roman" w:hAnsi="Times New Roman" w:cs="Times New Roman"/>
        </w:rPr>
        <w:t xml:space="preserve"> and ICWMPs </w:t>
      </w:r>
      <w:r>
        <w:rPr>
          <w:rFonts w:ascii="Times New Roman" w:eastAsia="Times New Roman" w:hAnsi="Times New Roman" w:cs="Times New Roman"/>
          <w:color w:val="FF0000"/>
        </w:rPr>
        <w:t>(Annex IV)</w:t>
      </w:r>
      <w:r>
        <w:rPr>
          <w:rFonts w:ascii="Times New Roman" w:eastAsia="Times New Roman" w:hAnsi="Times New Roman" w:cs="Times New Roman"/>
        </w:rPr>
        <w:t>, so that the clinics, laboratories, and quarantine facilities to be supported by the project apply international best practices in COVID-19 prevention, diagnostic and treatment. The document was reviewed and accepted by the World Bank, disclosed both in country</w:t>
      </w:r>
      <w:r>
        <w:rPr>
          <w:rFonts w:ascii="Times New Roman" w:eastAsia="Times New Roman" w:hAnsi="Times New Roman" w:cs="Times New Roman"/>
          <w:vertAlign w:val="superscript"/>
        </w:rPr>
        <w:footnoteReference w:id="38"/>
      </w:r>
      <w:r>
        <w:rPr>
          <w:rFonts w:ascii="Times New Roman" w:eastAsia="Times New Roman" w:hAnsi="Times New Roman" w:cs="Times New Roman"/>
        </w:rPr>
        <w:t xml:space="preserve"> and through the World Bank’s external web page</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w:t>
      </w:r>
    </w:p>
    <w:p w14:paraId="000001BA" w14:textId="77777777" w:rsidR="009F1887" w:rsidRDefault="00790D5B">
      <w:pPr>
        <w:numPr>
          <w:ilvl w:val="1"/>
          <w:numId w:val="16"/>
        </w:numPr>
        <w:spacing w:after="240"/>
        <w:ind w:left="180"/>
        <w:rPr>
          <w:rFonts w:ascii="Times New Roman" w:eastAsia="Times New Roman" w:hAnsi="Times New Roman" w:cs="Times New Roman"/>
        </w:rPr>
      </w:pPr>
      <w:r>
        <w:rPr>
          <w:rFonts w:ascii="Times New Roman" w:eastAsia="Times New Roman" w:hAnsi="Times New Roman" w:cs="Times New Roman"/>
          <w:b/>
          <w:i/>
        </w:rPr>
        <w:t>Labor Management Procedure</w:t>
      </w:r>
      <w:r>
        <w:rPr>
          <w:rFonts w:ascii="Times New Roman" w:eastAsia="Times New Roman" w:hAnsi="Times New Roman" w:cs="Times New Roman"/>
        </w:rPr>
        <w:t xml:space="preserve"> is a part of the present ESMF. It is developed to (i) respond to the specific health and safety issues posed by COVID-19; and (ii) protect workers’ rights as set out in ESS2. </w:t>
      </w:r>
    </w:p>
    <w:p w14:paraId="000001BB" w14:textId="77777777" w:rsidR="009F1887" w:rsidRDefault="00EC15FD">
      <w:pPr>
        <w:numPr>
          <w:ilvl w:val="1"/>
          <w:numId w:val="16"/>
        </w:numPr>
        <w:spacing w:after="240"/>
        <w:ind w:left="180"/>
        <w:jc w:val="both"/>
        <w:rPr>
          <w:rFonts w:ascii="Times New Roman" w:eastAsia="Times New Roman" w:hAnsi="Times New Roman" w:cs="Times New Roman"/>
        </w:rPr>
      </w:pPr>
      <w:sdt>
        <w:sdtPr>
          <w:tag w:val="goog_rdk_371"/>
          <w:id w:val="686483735"/>
        </w:sdtPr>
        <w:sdtContent>
          <w:commentRangeStart w:id="604"/>
        </w:sdtContent>
      </w:sdt>
      <w:r w:rsidR="00790D5B">
        <w:rPr>
          <w:rFonts w:ascii="Times New Roman" w:eastAsia="Times New Roman" w:hAnsi="Times New Roman" w:cs="Times New Roman"/>
          <w:b/>
          <w:i/>
        </w:rPr>
        <w:t>Stakeholder Engagement Plan</w:t>
      </w:r>
      <w:r w:rsidR="00790D5B">
        <w:rPr>
          <w:rFonts w:ascii="Times New Roman" w:eastAsia="Times New Roman" w:hAnsi="Times New Roman" w:cs="Times New Roman"/>
        </w:rPr>
        <w:t xml:space="preserve"> identifies and analyses key stakeholders and describes the process and modalities for sharing information on the project activities, incorporating stakeholder feedback into the Project and reporting and disclosure of project documents. It was prepared in respect of the global prevention efforts and combating the evolving COVID-19 situation. SEP is intended not only to help with the implementation of the community mobilization and behavioral change objectives of the project, but also for suppressing false COVID-19-related information and ensuring equitable access to services. The document was reviewed and accepted by the World Bank, disclosed both in country</w:t>
      </w:r>
      <w:r w:rsidR="00790D5B">
        <w:rPr>
          <w:rFonts w:ascii="Times New Roman" w:eastAsia="Times New Roman" w:hAnsi="Times New Roman" w:cs="Times New Roman"/>
          <w:vertAlign w:val="superscript"/>
        </w:rPr>
        <w:footnoteReference w:id="40"/>
      </w:r>
      <w:r w:rsidR="00790D5B">
        <w:rPr>
          <w:rFonts w:ascii="Times New Roman" w:eastAsia="Times New Roman" w:hAnsi="Times New Roman" w:cs="Times New Roman"/>
        </w:rPr>
        <w:t xml:space="preserve"> and through the World Bank’s external web page</w:t>
      </w:r>
      <w:r w:rsidR="00790D5B">
        <w:rPr>
          <w:rFonts w:ascii="Times New Roman" w:eastAsia="Times New Roman" w:hAnsi="Times New Roman" w:cs="Times New Roman"/>
          <w:vertAlign w:val="superscript"/>
        </w:rPr>
        <w:footnoteReference w:id="41"/>
      </w:r>
      <w:r w:rsidR="00790D5B">
        <w:rPr>
          <w:rFonts w:ascii="Times New Roman" w:eastAsia="Times New Roman" w:hAnsi="Times New Roman" w:cs="Times New Roman"/>
        </w:rPr>
        <w:t xml:space="preserve">;   </w:t>
      </w:r>
      <w:commentRangeEnd w:id="604"/>
      <w:r w:rsidR="00790D5B">
        <w:commentReference w:id="604"/>
      </w:r>
    </w:p>
    <w:p w14:paraId="000001BC"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b/>
        </w:rPr>
        <w:t>ESS 2 – Labor and Working Conditions</w:t>
      </w:r>
      <w:r>
        <w:rPr>
          <w:rFonts w:ascii="Times New Roman" w:eastAsia="Times New Roman" w:hAnsi="Times New Roman" w:cs="Times New Roman"/>
        </w:rPr>
        <w:t xml:space="preserve">. The project will be carried out in accordance with the applicable requirements of ESS 2, in a manner acceptable to the World Bank, including, inter alia, implementing adequate occupational health and safety measures (including emergency preparedness and response measures), setting out grievance arrangements for project workers, and incorporating labor requirements into the ESHS specifications of the procurement documents and contracts with works providers and technical supervision companies. </w:t>
      </w:r>
    </w:p>
    <w:p w14:paraId="000001BD" w14:textId="77777777" w:rsidR="009F1887" w:rsidRDefault="00790D5B">
      <w:pPr>
        <w:keepNext/>
        <w:widowControl w:val="0"/>
        <w:spacing w:after="240"/>
        <w:jc w:val="both"/>
        <w:rPr>
          <w:rFonts w:ascii="Times New Roman" w:eastAsia="Times New Roman" w:hAnsi="Times New Roman" w:cs="Times New Roman"/>
        </w:rPr>
      </w:pPr>
      <w:bookmarkStart w:id="605" w:name="_heading=h.z337ya" w:colFirst="0" w:colLast="0"/>
      <w:bookmarkEnd w:id="605"/>
      <w:r>
        <w:rPr>
          <w:rFonts w:ascii="Times New Roman" w:eastAsia="Times New Roman" w:hAnsi="Times New Roman" w:cs="Times New Roman"/>
        </w:rPr>
        <w:t xml:space="preserve">The project workers are expected to include direct workers and contracted workers. Direct workers shall be government civil servants and external consultants hired by the PIU. The civil servants will be employees of MoILHSA and other of state agencies involved in the project implementation. Civil servants assigned to work on project related activities, regardless of whether they work full time or part time, will continue to work under terms and conditions of their existing contracts or appointments in the public sector. ESS2 </w:t>
      </w:r>
      <w:r>
        <w:rPr>
          <w:rFonts w:ascii="Times New Roman" w:eastAsia="Times New Roman" w:hAnsi="Times New Roman" w:cs="Times New Roman"/>
        </w:rPr>
        <w:lastRenderedPageBreak/>
        <w:t>provisions on occupational health and safety, and prohibition of child and forced labor shall apply to civil servants engaged in the project. Consultants will be employed based on mutually agreed contracts between them and the PIU. Contracted workers will be: (i) Medical workers in health care facilities (HCF) and laboratories (i.e. doctors, nurses, laboratory workers, clinical trainees); (ii) Non-medical workers in health care facilities (e.g. facility and maintenance staff engaged in food preparation, delivery, technical maintenance, waste management); and (iii) Workers engaged by firms (contractors) to carry out small interiors repairs and installation works within HCF.</w:t>
      </w:r>
    </w:p>
    <w:p w14:paraId="000001BE"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rPr>
        <w:t>All project workers must have formal contracts with their employer. In line with ESS 2 and the national legislation, the use of forced labor for the project purposes is prohibited at both - construction and operation phases. Project workers will not work in contaminated areas and will be safeguarded with protective measures as appropriate.</w:t>
      </w:r>
    </w:p>
    <w:p w14:paraId="000001BF"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rPr>
        <w:t xml:space="preserve">LMP, included in this ESMF, carries requirements for ensuring health and safety of project workers. ESMP template, also attached to this ESMF, has a section on workers’ health and safety requirements. Civil works contracts will incorporate social and environmental mitigation measures based on the World Bank Group’s EHS Guidelines and the ESMF; all civil works contracts will include standard Codes of Conduct that include measures to prevent Gender Based Violence (GBV), including Sexual Exploitation and Abuse (SEA) and Sexual Harassment (SH). Functional grievance mechanisms (GMs), for direct and contracted workers, will be established. A technical note on SEA/SH for COVID-19 Projects is attached as </w:t>
      </w:r>
      <w:r>
        <w:rPr>
          <w:rFonts w:ascii="Times New Roman" w:eastAsia="Times New Roman" w:hAnsi="Times New Roman" w:cs="Times New Roman"/>
          <w:color w:val="FF0000"/>
        </w:rPr>
        <w:t>Annex V</w:t>
      </w:r>
      <w:r>
        <w:rPr>
          <w:rFonts w:ascii="Times New Roman" w:eastAsia="Times New Roman" w:hAnsi="Times New Roman" w:cs="Times New Roman"/>
        </w:rPr>
        <w:t>.</w:t>
      </w:r>
    </w:p>
    <w:p w14:paraId="000001C0"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b/>
        </w:rPr>
        <w:t>ESS 3 – Resource and Efficiency, Pollution Prevention and Management</w:t>
      </w:r>
      <w:r>
        <w:rPr>
          <w:rFonts w:ascii="Times New Roman" w:eastAsia="Times New Roman" w:hAnsi="Times New Roman" w:cs="Times New Roman"/>
        </w:rPr>
        <w:t xml:space="preserve">. Medical wastes and chemical wastes (including wastewater, reagents, infected materials, etc.) from the labs, quarantine, and screening posts to be supported (drugs, supplies and medical equipment) can have a significant impact on the environment and human health. Wastes generated from medical facilities and labs could include liquid contaminated waste, chemicals, and other hazardous materials, and other waste from labs and quarantine and isolation centers including sharps, used in diagnosis and treatment. Each beneficiary medical facility/laboratory, following the requirements of the ESMF, WHO COVID-19 guidance documents, and other best international practices, will prepare and follow an ICWMP to prevent or minimize adverse impacts of waste generation. </w:t>
      </w:r>
      <w:sdt>
        <w:sdtPr>
          <w:tag w:val="goog_rdk_372"/>
          <w:id w:val="1742597209"/>
        </w:sdtPr>
        <w:sdtContent>
          <w:commentRangeStart w:id="606"/>
        </w:sdtContent>
      </w:sdt>
      <w:sdt>
        <w:sdtPr>
          <w:tag w:val="goog_rdk_373"/>
          <w:id w:val="2037541209"/>
        </w:sdtPr>
        <w:sdtContent>
          <w:commentRangeStart w:id="607"/>
        </w:sdtContent>
      </w:sdt>
      <w:r>
        <w:rPr>
          <w:rFonts w:ascii="Times New Roman" w:eastAsia="Times New Roman" w:hAnsi="Times New Roman" w:cs="Times New Roman"/>
        </w:rPr>
        <w:t>The ICWMP mandates that any waste associated with COVID-19 testing or treatment will be incinerated on site whenever possible. It also contains strict protocols for disinfecting and packing such waste for transportation to the nearest medical waste incinerator if on-site destruction is not possible.</w:t>
      </w:r>
      <w:commentRangeEnd w:id="606"/>
      <w:r>
        <w:commentReference w:id="606"/>
      </w:r>
      <w:commentRangeEnd w:id="607"/>
      <w:r>
        <w:commentReference w:id="607"/>
      </w:r>
    </w:p>
    <w:p w14:paraId="000001C1"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b/>
        </w:rPr>
        <w:t xml:space="preserve">ESS 4 </w:t>
      </w:r>
      <w:sdt>
        <w:sdtPr>
          <w:tag w:val="goog_rdk_374"/>
          <w:id w:val="-1970043576"/>
        </w:sdtPr>
        <w:sdtContent>
          <w:commentRangeStart w:id="608"/>
        </w:sdtContent>
      </w:sdt>
      <w:r>
        <w:rPr>
          <w:rFonts w:ascii="Times New Roman" w:eastAsia="Times New Roman" w:hAnsi="Times New Roman" w:cs="Times New Roman"/>
          <w:b/>
        </w:rPr>
        <w:t>– Community Health and Safety</w:t>
      </w:r>
      <w:r>
        <w:rPr>
          <w:rFonts w:ascii="Times New Roman" w:eastAsia="Times New Roman" w:hAnsi="Times New Roman" w:cs="Times New Roman"/>
        </w:rPr>
        <w:t xml:space="preserve">. </w:t>
      </w:r>
      <w:commentRangeEnd w:id="608"/>
      <w:r>
        <w:commentReference w:id="608"/>
      </w:r>
      <w:r>
        <w:rPr>
          <w:rFonts w:ascii="Times New Roman" w:eastAsia="Times New Roman" w:hAnsi="Times New Roman" w:cs="Times New Roman"/>
        </w:rPr>
        <w:t xml:space="preserve">Medical wastes and general waste from the healthcare facilities, laboratories and quarantine centers have a high potential of carrying infectious agents that may spread to communities if not properly confined and disposed of. Laboratories, quarantine and isolation centers, and screening posts will, thereby, follow procedures introduced for safeguarding communities as detailed in the ESMF and ICWMP. </w:t>
      </w:r>
    </w:p>
    <w:p w14:paraId="000001C2" w14:textId="77777777" w:rsidR="009F1887" w:rsidRDefault="00790D5B">
      <w:pPr>
        <w:keepNext/>
        <w:widowControl w:val="0"/>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PIU will follow SEP to ensure engagement with communities in order to disseminate information related to community health and safety during COVID-19 pandemic, including information on social distancing, use of PPE, self-isolation and quarantine. </w:t>
      </w:r>
    </w:p>
    <w:p w14:paraId="000001C3"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rPr>
        <w:t xml:space="preserve">The project will mitigate the risk of SEA by applying the WHO Code of Ethics and Professional Conduct at all beneficiary healthcare and quarantine facilities. Project-related SEA/SH risks may arise at the </w:t>
      </w:r>
      <w:r>
        <w:rPr>
          <w:rFonts w:ascii="Times New Roman" w:eastAsia="Times New Roman" w:hAnsi="Times New Roman" w:cs="Times New Roman"/>
        </w:rPr>
        <w:lastRenderedPageBreak/>
        <w:t xml:space="preserve">household level too. Global evidence suggests that safety net interventions, including cash transfers and income-generating schemes, among others, can affect household power dynamics, which can exacerbate incidents of GBV/SEA/SH.  Global evidence also suggests that intimate-partner violence and unequal gender dynamics can limit women’s ability to access these interventions.  The project will mitigate these risks by taking the following steps: </w:t>
      </w:r>
    </w:p>
    <w:p w14:paraId="000001C4" w14:textId="77777777" w:rsidR="009F1887" w:rsidRDefault="00790D5B">
      <w:pPr>
        <w:keepNext/>
        <w:widowControl w:val="0"/>
        <w:numPr>
          <w:ilvl w:val="0"/>
          <w:numId w:val="3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Disseminate key messages to the public focusing on: </w:t>
      </w:r>
    </w:p>
    <w:p w14:paraId="000001C5" w14:textId="77777777" w:rsidR="009F1887" w:rsidRDefault="00790D5B">
      <w:pPr>
        <w:keepNext/>
        <w:widowControl w:val="0"/>
        <w:numPr>
          <w:ilvl w:val="0"/>
          <w:numId w:val="3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sexual or other favor can be requested in exchange for medical assistance; </w:t>
      </w:r>
    </w:p>
    <w:p w14:paraId="000001C6" w14:textId="77777777" w:rsidR="009F1887" w:rsidRDefault="00790D5B">
      <w:pPr>
        <w:keepNext/>
        <w:widowControl w:val="0"/>
        <w:numPr>
          <w:ilvl w:val="0"/>
          <w:numId w:val="3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medical staff are prohibited from engaging in sexual exploitation and abuse; and </w:t>
      </w:r>
    </w:p>
    <w:p w14:paraId="000001C7" w14:textId="77777777" w:rsidR="009F1887" w:rsidRDefault="00790D5B">
      <w:pPr>
        <w:keepNext/>
        <w:widowControl w:val="0"/>
        <w:numPr>
          <w:ilvl w:val="0"/>
          <w:numId w:val="3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case or suspicion of SEA can be reported to the project GRM. </w:t>
      </w:r>
    </w:p>
    <w:p w14:paraId="000001C8" w14:textId="77777777" w:rsidR="009F1887" w:rsidRDefault="00790D5B">
      <w:pPr>
        <w:keepNext/>
        <w:widowControl w:val="0"/>
        <w:numPr>
          <w:ilvl w:val="0"/>
          <w:numId w:val="3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information available to health service providers on where SEA/SH psychosocial support and emergency medical services can be accessed; </w:t>
      </w:r>
    </w:p>
    <w:p w14:paraId="000001C9" w14:textId="77777777" w:rsidR="009F1887" w:rsidRDefault="00790D5B">
      <w:pPr>
        <w:keepNext/>
        <w:widowControl w:val="0"/>
        <w:numPr>
          <w:ilvl w:val="0"/>
          <w:numId w:val="30"/>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Promote two-way communication between health authorities and communities that would allow information on instances.</w:t>
      </w:r>
    </w:p>
    <w:p w14:paraId="000001CA" w14:textId="77777777" w:rsidR="009F1887" w:rsidRDefault="00790D5B">
      <w:pPr>
        <w:spacing w:after="0" w:line="240" w:lineRule="auto"/>
      </w:pPr>
      <w:r>
        <w:rPr>
          <w:rFonts w:ascii="Times New Roman" w:eastAsia="Times New Roman" w:hAnsi="Times New Roman" w:cs="Times New Roman"/>
        </w:rPr>
        <w:t>In case quarantine and isolation centers are to be protected by security personnel, it will be ensured that the security personnel follow strict rules of engagement and avoid any escalation of the situation, taking into consideration the above-noted needs of quarantined persons as well as the potential stress related to it. The project will provide gender-sensitive infrastructure, such as segregated toilets and enough light in quarantines, isolation centers and screening posts.</w:t>
      </w:r>
    </w:p>
    <w:p w14:paraId="000001CB" w14:textId="77777777" w:rsidR="009F1887" w:rsidRDefault="009F1887">
      <w:pPr>
        <w:spacing w:after="0" w:line="240" w:lineRule="auto"/>
      </w:pPr>
    </w:p>
    <w:p w14:paraId="000001CC" w14:textId="77777777" w:rsidR="009F1887" w:rsidRDefault="00790D5B">
      <w:pPr>
        <w:keepNext/>
        <w:widowControl w:val="0"/>
        <w:spacing w:after="240"/>
        <w:jc w:val="both"/>
        <w:rPr>
          <w:rFonts w:ascii="Times New Roman" w:eastAsia="Times New Roman" w:hAnsi="Times New Roman" w:cs="Times New Roman"/>
        </w:rPr>
      </w:pPr>
      <w:r>
        <w:rPr>
          <w:rFonts w:ascii="Times New Roman" w:eastAsia="Times New Roman" w:hAnsi="Times New Roman" w:cs="Times New Roman"/>
          <w:b/>
        </w:rPr>
        <w:t>ESS 10 – Stakeholder Engagement and Information Disclosure</w:t>
      </w:r>
      <w:r>
        <w:rPr>
          <w:rFonts w:ascii="Times New Roman" w:eastAsia="Times New Roman" w:hAnsi="Times New Roman" w:cs="Times New Roman"/>
        </w:rPr>
        <w:t xml:space="preserve">. The project recognizes the need for effective and inclusive engagement with all of the relevant stakeholders and the population at large. Considering the serious challenges associated with COVID-19, dissemination of clear messages around social distancing, high risk demographics, self-quarantine, and, when necessary, mandatory quarantine is critical. Meaningful consultation, particularly when public meetings are counter to the aims of the SEP, and disclosure of appropriate information assume huge significance for ensuring public health and safety from all perspectives – social, environmental, economic, and medical/ health. In this backdrop, SEP prepared for the project will be followed through to ensure that all stakeholders mapped during project preparation are reached and involved through tailor-made engagement modalities. Disclosure and consultation processes as well as the operation of the project GRM will be adjusted to the evolving dynamics of the pandemic, updates of WHO guidance and the national regulations in force at a given time. </w:t>
      </w:r>
    </w:p>
    <w:p w14:paraId="000001CD" w14:textId="77777777" w:rsidR="009F1887" w:rsidRDefault="00790D5B">
      <w:pPr>
        <w:pStyle w:val="Heading2"/>
        <w:numPr>
          <w:ilvl w:val="1"/>
          <w:numId w:val="66"/>
        </w:numPr>
        <w:spacing w:after="240"/>
        <w:ind w:left="270" w:hanging="270"/>
        <w:rPr>
          <w:sz w:val="22"/>
          <w:szCs w:val="22"/>
        </w:rPr>
      </w:pPr>
      <w:bookmarkStart w:id="609" w:name="_heading=h.3j2qqm3" w:colFirst="0" w:colLast="0"/>
      <w:bookmarkEnd w:id="609"/>
      <w:r>
        <w:rPr>
          <w:sz w:val="22"/>
          <w:szCs w:val="22"/>
        </w:rPr>
        <w:t>Risk Mitigation at Planning at the Design Stage</w:t>
      </w:r>
    </w:p>
    <w:p w14:paraId="000001CE"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rPr>
        <w:t>Subproject screening for eligibility and for site-specific risks</w:t>
      </w:r>
      <w:r>
        <w:rPr>
          <w:rFonts w:ascii="Times New Roman" w:eastAsia="Times New Roman" w:hAnsi="Times New Roman" w:cs="Times New Roman"/>
        </w:rPr>
        <w:t xml:space="preserve">. PIU will screen each healthcare facility suggested for rehabilitation to ensure that property rights to the building and the land under it are clear and well-documented, there is no informal private use of the land and/or buildings in the territory of a facility and no land take or any form of involuntary resettlement is required. Environmental and social risks will also be screened for rehabilitation works planned at every facility as per World Bank Group EHS Guidelines, WHO COVID-19 Guidelines, and the screening form contained in </w:t>
      </w:r>
      <w:r>
        <w:rPr>
          <w:rFonts w:ascii="Times New Roman" w:eastAsia="Times New Roman" w:hAnsi="Times New Roman" w:cs="Times New Roman"/>
          <w:color w:val="FF0000"/>
        </w:rPr>
        <w:t>Annex I</w:t>
      </w:r>
      <w:r>
        <w:rPr>
          <w:rFonts w:ascii="Times New Roman" w:eastAsia="Times New Roman" w:hAnsi="Times New Roman" w:cs="Times New Roman"/>
        </w:rPr>
        <w:t xml:space="preserve">. This will include: </w:t>
      </w:r>
    </w:p>
    <w:p w14:paraId="000001CF" w14:textId="77777777" w:rsidR="009F1887" w:rsidRDefault="00790D5B">
      <w:pPr>
        <w:numPr>
          <w:ilvl w:val="0"/>
          <w:numId w:val="4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Review of design to confirm that no large-scale construction is implied: no new construction and no construction and extensions to the existing facilities that would expand environmental footprint of a building;</w:t>
      </w:r>
      <w:r>
        <w:rPr>
          <w:rFonts w:ascii="Times New Roman" w:eastAsia="Times New Roman" w:hAnsi="Times New Roman" w:cs="Times New Roman"/>
          <w:color w:val="000000"/>
        </w:rPr>
        <w:tab/>
      </w:r>
    </w:p>
    <w:p w14:paraId="000001D0" w14:textId="77777777" w:rsidR="009F1887" w:rsidRDefault="00790D5B">
      <w:pPr>
        <w:numPr>
          <w:ilvl w:val="0"/>
          <w:numId w:val="4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Determination of any needed design changes in the facility or its operation such as ICUs, isolation facilities, structural and equipment safety, universal access, nosocomial infection control, medical waste disposal, etc.; </w:t>
      </w:r>
    </w:p>
    <w:p w14:paraId="000001D1" w14:textId="77777777" w:rsidR="009F1887" w:rsidRDefault="00790D5B">
      <w:pPr>
        <w:numPr>
          <w:ilvl w:val="0"/>
          <w:numId w:val="4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Confirmation that currently available utilities (power, water, etc.) are permissive for the planned works;</w:t>
      </w:r>
    </w:p>
    <w:p w14:paraId="000001D2" w14:textId="77777777" w:rsidR="009F1887" w:rsidRDefault="00790D5B">
      <w:pPr>
        <w:numPr>
          <w:ilvl w:val="0"/>
          <w:numId w:val="4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Confirmation of whether the medical facility will entirely or partially be operated during works or will it be vacant/vacated. Identification of arrangements that need to be in place for ensuring safe operation of the facility in parallel with works if that is needed and possible under the circumstances; </w:t>
      </w:r>
    </w:p>
    <w:p w14:paraId="000001D3" w14:textId="77777777" w:rsidR="009F1887" w:rsidRDefault="00790D5B">
      <w:pPr>
        <w:numPr>
          <w:ilvl w:val="0"/>
          <w:numId w:val="4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whether additional security personnel is required during works and beyond; and</w:t>
      </w:r>
    </w:p>
    <w:p w14:paraId="000001D4" w14:textId="77777777" w:rsidR="009F1887" w:rsidRDefault="00790D5B">
      <w:pPr>
        <w:numPr>
          <w:ilvl w:val="0"/>
          <w:numId w:val="4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Determination of whether ESMP needs to be prepared for a given subproject. </w:t>
      </w:r>
    </w:p>
    <w:p w14:paraId="000001D5"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Medical waste management and disposal</w:t>
      </w:r>
      <w:r>
        <w:rPr>
          <w:rFonts w:ascii="Times New Roman" w:eastAsia="Times New Roman" w:hAnsi="Times New Roman" w:cs="Times New Roman"/>
        </w:rPr>
        <w:t xml:space="preserve">. The PIU will examine medical waste management and disposal practices applied in each beneficiary healthcare facility to determine how they relate to the World Bank Group’s EHS Guidelines and current WHO Guidelines for COVID-19. Checking of the existing waste management systems will be conducted using the screening form provided in Annex I and will include:   </w:t>
      </w:r>
    </w:p>
    <w:p w14:paraId="000001D6" w14:textId="77777777" w:rsidR="009F1887" w:rsidRDefault="00790D5B">
      <w:pPr>
        <w:numPr>
          <w:ilvl w:val="4"/>
          <w:numId w:val="26"/>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Identification of current methods of medical waste management and disposal at the healthcare facility; </w:t>
      </w:r>
    </w:p>
    <w:p w14:paraId="000001D7" w14:textId="77777777" w:rsidR="009F1887" w:rsidRDefault="00790D5B">
      <w:pPr>
        <w:numPr>
          <w:ilvl w:val="4"/>
          <w:numId w:val="26"/>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Identification of any on-site disinfection/distraction and/or disposal facilities for medical waste including incinerators, pits for burial of medical waste, etc.; </w:t>
      </w:r>
    </w:p>
    <w:p w14:paraId="000001D8" w14:textId="77777777" w:rsidR="009F1887" w:rsidRDefault="00790D5B">
      <w:pPr>
        <w:numPr>
          <w:ilvl w:val="4"/>
          <w:numId w:val="26"/>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removal and final disposal of medical waste from a given healthcare facility, including how material is gathered and stored, routes taken to the disposal facility, and disposal procedures;</w:t>
      </w:r>
    </w:p>
    <w:p w14:paraId="000001D9" w14:textId="77777777" w:rsidR="009F1887" w:rsidRDefault="00790D5B">
      <w:pPr>
        <w:numPr>
          <w:ilvl w:val="4"/>
          <w:numId w:val="26"/>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Review of protocols for dealing with medical waste specifically related to infectious diseases like COVID-19;</w:t>
      </w:r>
    </w:p>
    <w:p w14:paraId="000001DA" w14:textId="77777777" w:rsidR="009F1887" w:rsidRDefault="00790D5B">
      <w:pPr>
        <w:numPr>
          <w:ilvl w:val="4"/>
          <w:numId w:val="26"/>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Review of training delivered to healthcare workers and other relevant employees of medical facilities for medical waste management and disposal; </w:t>
      </w:r>
    </w:p>
    <w:p w14:paraId="000001DB" w14:textId="77777777" w:rsidR="009F1887" w:rsidRDefault="00790D5B">
      <w:pPr>
        <w:numPr>
          <w:ilvl w:val="4"/>
          <w:numId w:val="26"/>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whether an ICWMP need to be prepared for a given healthcare facility.</w:t>
      </w:r>
      <w:r>
        <w:rPr>
          <w:rFonts w:ascii="Times New Roman" w:eastAsia="Times New Roman" w:hAnsi="Times New Roman" w:cs="Times New Roman"/>
          <w:color w:val="000000"/>
        </w:rPr>
        <w:tab/>
      </w:r>
    </w:p>
    <w:p w14:paraId="000001DC"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rPr>
        <w:t>Procuring of goods and supplies.</w:t>
      </w:r>
      <w:r>
        <w:rPr>
          <w:rFonts w:ascii="Times New Roman" w:eastAsia="Times New Roman" w:hAnsi="Times New Roman" w:cs="Times New Roman"/>
        </w:rPr>
        <w:t xml:space="preserve"> Where the project will include the procurement of goods and supplies (e.g. equipment such as ventilators or PPE or cleaning materials), PIU will develop technical specifications and review those provided by beneficiary healthcare facilities to ensure they are compatible with the WHO guidelines and recommendations and GIIP. </w:t>
      </w:r>
    </w:p>
    <w:p w14:paraId="000001DD"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b/>
          <w:i/>
          <w:highlight w:val="yellow"/>
        </w:rPr>
        <w:t>Protecting healthcare workers</w:t>
      </w:r>
      <w:r>
        <w:rPr>
          <w:rFonts w:ascii="Times New Roman" w:eastAsia="Times New Roman" w:hAnsi="Times New Roman" w:cs="Times New Roman"/>
          <w:highlight w:val="yellow"/>
        </w:rPr>
        <w:t>. The PIU will conduct a review of protocols for protecting healthcare workers from infections disease applied by the given healthcare facility based on current WHO Guidelines</w:t>
      </w:r>
      <w:r>
        <w:rPr>
          <w:rFonts w:ascii="Times New Roman" w:eastAsia="Times New Roman" w:hAnsi="Times New Roman" w:cs="Times New Roman"/>
        </w:rPr>
        <w:t xml:space="preserve"> </w:t>
      </w:r>
      <w:r>
        <w:t>(</w:t>
      </w:r>
      <w:hyperlink r:id="rId23">
        <w:r>
          <w:rPr>
            <w:rFonts w:ascii="Times New Roman" w:eastAsia="Times New Roman" w:hAnsi="Times New Roman" w:cs="Times New Roman"/>
            <w:color w:val="0000FF"/>
            <w:u w:val="single"/>
          </w:rPr>
          <w:t>https://www.who.int/medical_devices/priority/COVID_19_PPE/en/</w:t>
        </w:r>
      </w:hyperlink>
      <w:r>
        <w:rPr>
          <w:rFonts w:ascii="Times New Roman" w:eastAsia="Times New Roman" w:hAnsi="Times New Roman" w:cs="Times New Roman"/>
        </w:rPr>
        <w:t xml:space="preserve"> ) for COVID-19 and the Infection and Prevention Protocol (</w:t>
      </w:r>
      <w:r>
        <w:rPr>
          <w:rFonts w:ascii="Times New Roman" w:eastAsia="Times New Roman" w:hAnsi="Times New Roman" w:cs="Times New Roman"/>
          <w:color w:val="FF0000"/>
        </w:rPr>
        <w:t>Annex IV</w:t>
      </w:r>
      <w:r>
        <w:rPr>
          <w:rFonts w:ascii="Times New Roman" w:eastAsia="Times New Roman" w:hAnsi="Times New Roman" w:cs="Times New Roman"/>
        </w:rPr>
        <w:t>) as well as the ILO guidance on safety measure for employees in the health sector (</w:t>
      </w:r>
      <w:hyperlink r:id="rId24">
        <w:r>
          <w:rPr>
            <w:rFonts w:ascii="Times New Roman" w:eastAsia="Times New Roman" w:hAnsi="Times New Roman" w:cs="Times New Roman"/>
            <w:color w:val="0000FF"/>
            <w:u w:val="single"/>
          </w:rPr>
          <w:t>https://www.ilo.org/sector/Resources/publications/WCMS_741655/lang--en/index.htm</w:t>
        </w:r>
      </w:hyperlink>
      <w:r>
        <w:rPr>
          <w:rFonts w:ascii="Times New Roman" w:eastAsia="Times New Roman" w:hAnsi="Times New Roman" w:cs="Times New Roman"/>
        </w:rPr>
        <w:t xml:space="preserve">). The review will include: </w:t>
      </w:r>
    </w:p>
    <w:p w14:paraId="000001DE" w14:textId="77777777" w:rsidR="009F1887" w:rsidRDefault="00790D5B">
      <w:pPr>
        <w:numPr>
          <w:ilvl w:val="4"/>
          <w:numId w:val="28"/>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whether the training provided to healthcare workers and other employees of the healthcare facility is adequate;</w:t>
      </w:r>
    </w:p>
    <w:p w14:paraId="000001DF" w14:textId="77777777" w:rsidR="009F1887" w:rsidRDefault="00790D5B">
      <w:pPr>
        <w:numPr>
          <w:ilvl w:val="4"/>
          <w:numId w:val="28"/>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Determination of whether the staff are trained on how to deal with the remains of those who might die from COVID-19, including those conducting autopsies; </w:t>
      </w:r>
    </w:p>
    <w:p w14:paraId="000001E0" w14:textId="77777777" w:rsidR="009F1887" w:rsidRDefault="00790D5B">
      <w:pPr>
        <w:numPr>
          <w:ilvl w:val="4"/>
          <w:numId w:val="28"/>
        </w:num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if adequate stocks of PPE are available on-site; and</w:t>
      </w:r>
    </w:p>
    <w:p w14:paraId="000001E1" w14:textId="77777777" w:rsidR="009F1887" w:rsidRDefault="00790D5B">
      <w:pPr>
        <w:numPr>
          <w:ilvl w:val="4"/>
          <w:numId w:val="28"/>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supply lines for required PPE.</w:t>
      </w:r>
    </w:p>
    <w:p w14:paraId="000001E2" w14:textId="77777777" w:rsidR="009F1887" w:rsidRDefault="00790D5B">
      <w:pPr>
        <w:pStyle w:val="Heading2"/>
        <w:numPr>
          <w:ilvl w:val="1"/>
          <w:numId w:val="66"/>
        </w:numPr>
        <w:spacing w:after="240"/>
        <w:rPr>
          <w:sz w:val="22"/>
          <w:szCs w:val="22"/>
        </w:rPr>
      </w:pPr>
      <w:bookmarkStart w:id="610" w:name="_heading=h.1y810tw" w:colFirst="0" w:colLast="0"/>
      <w:bookmarkEnd w:id="610"/>
      <w:r>
        <w:rPr>
          <w:sz w:val="22"/>
          <w:szCs w:val="22"/>
        </w:rPr>
        <w:t>Risk Mitigation at Construction Stage</w:t>
      </w:r>
    </w:p>
    <w:p w14:paraId="000001E3" w14:textId="77777777" w:rsidR="009F1887" w:rsidRDefault="00790D5B">
      <w:pPr>
        <w:keepNext/>
        <w:keepLines/>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new construction will be supported by the project. Small to medium-scale interior works for rehabilitation, refurbishment or retrofitting of the existing buildings will be undertaken in compliance with site-specific ESMPs. PIU, through its environmental and social consultants, will undertake monitoring of contractors’ performance, identify any issues with ESMPs’ implementation, recommend corrective action and elevate issues to MoILHSA in case problems persist. The PIU will also ensure that the site-specific ESMPs are developed, agreed with the Bank, disclosed, discussed with stakeholders and finalized prior to tending of works. ESMPs must be included into the tender packages and later – into the contracts concluded with works providers. Site-specific ESMPs will include: </w:t>
      </w:r>
    </w:p>
    <w:p w14:paraId="000001E4" w14:textId="77777777" w:rsidR="009F1887" w:rsidRDefault="00790D5B">
      <w:pPr>
        <w:keepNext/>
        <w:keepLines/>
        <w:numPr>
          <w:ilvl w:val="0"/>
          <w:numId w:val="18"/>
        </w:num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Description of site-specific environmental and social risks at construction and operation phases; </w:t>
      </w:r>
    </w:p>
    <w:p w14:paraId="000001E5" w14:textId="77777777" w:rsidR="009F1887" w:rsidRDefault="00790D5B">
      <w:pPr>
        <w:keepNext/>
        <w:keepLines/>
        <w:numPr>
          <w:ilvl w:val="0"/>
          <w:numId w:val="18"/>
        </w:num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Measures for adequate management of hazardous and non-hazardous construction waste;  </w:t>
      </w:r>
    </w:p>
    <w:p w14:paraId="000001E6" w14:textId="77777777" w:rsidR="009F1887" w:rsidRDefault="00790D5B">
      <w:pPr>
        <w:keepNext/>
        <w:keepLines/>
        <w:numPr>
          <w:ilvl w:val="0"/>
          <w:numId w:val="18"/>
        </w:num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Labor, working conditions, OHS and GBV/SEA/SH risks; </w:t>
      </w:r>
    </w:p>
    <w:p w14:paraId="000001E7" w14:textId="77777777" w:rsidR="009F1887" w:rsidRDefault="00790D5B">
      <w:pPr>
        <w:keepNext/>
        <w:keepLines/>
        <w:numPr>
          <w:ilvl w:val="0"/>
          <w:numId w:val="18"/>
        </w:numPr>
        <w:pBdr>
          <w:top w:val="nil"/>
          <w:left w:val="nil"/>
          <w:bottom w:val="nil"/>
          <w:right w:val="nil"/>
          <w:between w:val="nil"/>
        </w:pBdr>
        <w:spacing w:after="24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 for monitoring of ESMP implementation. </w:t>
      </w:r>
    </w:p>
    <w:p w14:paraId="000001E8" w14:textId="77777777" w:rsidR="009F1887" w:rsidRDefault="00790D5B">
      <w:pPr>
        <w:pStyle w:val="Heading2"/>
        <w:numPr>
          <w:ilvl w:val="1"/>
          <w:numId w:val="66"/>
        </w:numPr>
        <w:spacing w:after="240"/>
        <w:rPr>
          <w:sz w:val="22"/>
          <w:szCs w:val="22"/>
        </w:rPr>
      </w:pPr>
      <w:bookmarkStart w:id="611" w:name="_heading=h.4i7ojhp" w:colFirst="0" w:colLast="0"/>
      <w:bookmarkEnd w:id="611"/>
      <w:r>
        <w:rPr>
          <w:sz w:val="22"/>
          <w:szCs w:val="22"/>
        </w:rPr>
        <w:t>Risk Mitigation at Operational Stage</w:t>
      </w:r>
    </w:p>
    <w:p w14:paraId="000001E9"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Best practice in avoiding or minimizing the spread of infectious diseases, specifically with regard to cross-infection between healthcare facilities and the community, is to implement ‘cradle-to-grave’ management for infection control. The details of this will differ, depending on the design of the subprojects and the quality of the existing facilities, assets and management systems. Following an assessment of risks along each link of the chain, details of the procedures to be implemented to manage infection control and waste management will be set out in the ICWMPs. If a project beneficiary facility has existing facilities and procedures, these may be enhanced as required. </w:t>
      </w:r>
      <w:r>
        <w:rPr>
          <w:rFonts w:ascii="Times New Roman" w:eastAsia="Times New Roman" w:hAnsi="Times New Roman" w:cs="Times New Roman"/>
          <w:color w:val="FF0000"/>
        </w:rPr>
        <w:t>Annex IV</w:t>
      </w:r>
      <w:r>
        <w:rPr>
          <w:rFonts w:ascii="Times New Roman" w:eastAsia="Times New Roman" w:hAnsi="Times New Roman" w:cs="Times New Roman"/>
        </w:rPr>
        <w:t xml:space="preserve"> carries a template for developing ICWMPs. Typical aspects to be covered include:</w:t>
      </w:r>
    </w:p>
    <w:p w14:paraId="000001EA" w14:textId="77777777" w:rsidR="009F1887" w:rsidRDefault="00790D5B">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Delivery and storage of goods, including samples, pharmaceuticals, reagents and other hazardous materials;</w:t>
      </w:r>
    </w:p>
    <w:p w14:paraId="000001EB" w14:textId="77777777" w:rsidR="009F1887" w:rsidRDefault="00790D5B">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Healthcare treatment practices, including provision and use of PPE, appropriate cleaning procedures, testing for COVID-19, and transportation of samples to testing facilities;</w:t>
      </w:r>
    </w:p>
    <w:p w14:paraId="000001EC" w14:textId="77777777" w:rsidR="009F1887" w:rsidRDefault="00790D5B">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Waste management procedures that align with WHO guidance on Safe Management of Wastes from Healthcare Activities, including with respect to:</w:t>
      </w:r>
    </w:p>
    <w:p w14:paraId="000001ED" w14:textId="77777777" w:rsidR="009F1887" w:rsidRDefault="00790D5B">
      <w:pPr>
        <w:numPr>
          <w:ilvl w:val="1"/>
          <w:numId w:val="5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Waste generation, minimization, reuse and recycling; </w:t>
      </w:r>
    </w:p>
    <w:p w14:paraId="000001EE" w14:textId="77777777" w:rsidR="009F1887" w:rsidRDefault="00790D5B">
      <w:pPr>
        <w:numPr>
          <w:ilvl w:val="1"/>
          <w:numId w:val="5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Waste segregation at the point of care, packaging, collection, storage and transport;</w:t>
      </w:r>
    </w:p>
    <w:p w14:paraId="000001EF" w14:textId="77777777" w:rsidR="009F1887" w:rsidRDefault="00790D5B">
      <w:pPr>
        <w:numPr>
          <w:ilvl w:val="1"/>
          <w:numId w:val="5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Suitability and capacity of onsite disinfection and waste handling equipment such as autoclave. Onsite treatment facilities may include small-scale incinerator and wastewater </w:t>
      </w:r>
      <w:r>
        <w:rPr>
          <w:rFonts w:ascii="Times New Roman" w:eastAsia="Times New Roman" w:hAnsi="Times New Roman" w:cs="Times New Roman"/>
          <w:color w:val="000000"/>
        </w:rPr>
        <w:lastRenderedPageBreak/>
        <w:t xml:space="preserve">treatment works. Their adequacy and compliance should be assessed, and proper measures proposed as necessary; </w:t>
      </w:r>
    </w:p>
    <w:p w14:paraId="000001F0" w14:textId="77777777" w:rsidR="009F1887" w:rsidRDefault="00790D5B">
      <w:pPr>
        <w:numPr>
          <w:ilvl w:val="1"/>
          <w:numId w:val="5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Suitability and capacity of off-site disposal facilities, where healthcare wastes will be transported and disposed of in off-site. The adequacy and compliance with transport and disposal regulations and licensing for the transport vehicles and the offsite disposal facilities should be assessed. </w:t>
      </w:r>
    </w:p>
    <w:p w14:paraId="000001F1" w14:textId="77777777" w:rsidR="009F1887" w:rsidRDefault="00790D5B">
      <w:pPr>
        <w:numPr>
          <w:ilvl w:val="1"/>
          <w:numId w:val="51"/>
        </w:numPr>
        <w:pBdr>
          <w:top w:val="nil"/>
          <w:left w:val="nil"/>
          <w:bottom w:val="nil"/>
          <w:right w:val="nil"/>
          <w:between w:val="nil"/>
        </w:pBdr>
        <w:spacing w:after="24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OHS, labor and working conditions, GBV/SEA/SH, gender and disability. </w:t>
      </w:r>
    </w:p>
    <w:p w14:paraId="000001F2" w14:textId="77777777" w:rsidR="009F1887" w:rsidRDefault="00790D5B">
      <w:pPr>
        <w:pStyle w:val="Heading2"/>
        <w:numPr>
          <w:ilvl w:val="1"/>
          <w:numId w:val="66"/>
        </w:numPr>
        <w:spacing w:after="240"/>
        <w:rPr>
          <w:sz w:val="22"/>
          <w:szCs w:val="22"/>
        </w:rPr>
      </w:pPr>
      <w:bookmarkStart w:id="612" w:name="_heading=h.2xcytpi" w:colFirst="0" w:colLast="0"/>
      <w:bookmarkEnd w:id="612"/>
      <w:r>
        <w:rPr>
          <w:sz w:val="22"/>
          <w:szCs w:val="22"/>
        </w:rPr>
        <w:t>Risk Mitigation at Decommissioning Stage</w:t>
      </w:r>
    </w:p>
    <w:p w14:paraId="000001F3" w14:textId="77777777" w:rsidR="009F1887" w:rsidRDefault="00790D5B">
      <w:pPr>
        <w:spacing w:after="240"/>
        <w:jc w:val="both"/>
        <w:rPr>
          <w:rFonts w:ascii="Times New Roman" w:eastAsia="Times New Roman" w:hAnsi="Times New Roman" w:cs="Times New Roman"/>
        </w:rPr>
      </w:pPr>
      <w:r>
        <w:rPr>
          <w:rFonts w:ascii="Times New Roman" w:eastAsia="Times New Roman" w:hAnsi="Times New Roman" w:cs="Times New Roman"/>
        </w:rPr>
        <w:t xml:space="preserve">In response to the surge of COVID-19 testing and treatment, temporary care facilities may be established, which could shortly thereafter be decommissioned. If this becomes relevant during the project life, environmental and social risks associated with the decommissioning of these temporary facilities will be considered and planned in accordance of the good international practice. Typical set of mitigation measures would include disposal of various types of waste, disinfection and site reinstatement. </w:t>
      </w:r>
    </w:p>
    <w:p w14:paraId="000001F4" w14:textId="77777777" w:rsidR="009F1887" w:rsidRDefault="009F1887">
      <w:pPr>
        <w:spacing w:after="120" w:line="240" w:lineRule="auto"/>
        <w:jc w:val="both"/>
        <w:rPr>
          <w:rFonts w:ascii="Times New Roman" w:eastAsia="Times New Roman" w:hAnsi="Times New Roman" w:cs="Times New Roman"/>
        </w:rPr>
      </w:pPr>
    </w:p>
    <w:p w14:paraId="000001F5" w14:textId="77777777" w:rsidR="009F1887" w:rsidRDefault="00790D5B">
      <w:pPr>
        <w:pStyle w:val="Heading2"/>
        <w:numPr>
          <w:ilvl w:val="1"/>
          <w:numId w:val="66"/>
        </w:numPr>
        <w:spacing w:after="240"/>
        <w:rPr>
          <w:sz w:val="22"/>
          <w:szCs w:val="22"/>
        </w:rPr>
      </w:pPr>
      <w:bookmarkStart w:id="613" w:name="_heading=h.1ci93xb" w:colFirst="0" w:colLast="0"/>
      <w:bookmarkEnd w:id="613"/>
      <w:r>
        <w:rPr>
          <w:sz w:val="22"/>
          <w:szCs w:val="22"/>
        </w:rPr>
        <w:t>Procedures to Address Environmental and Social Issues</w:t>
      </w:r>
    </w:p>
    <w:p w14:paraId="000001F6"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rPr>
        <w:t xml:space="preserve">MoILHSA is responsible for the overall implementation of the project through the PIU. The PIU will be responsible for day-to-day project management and support, ensuring that project implementation is compliant with the World Bank’s ESF - particularly, with the relevant ESSs; the World Bank Group’s EHS Guidelines; WHO COVID-19 Guidelines; and this ESMF. The PIU will be adequately staffed and maintained throughout the project life. </w:t>
      </w:r>
    </w:p>
    <w:p w14:paraId="000001F7"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rPr>
        <w:t xml:space="preserve">Implementation of this ESMF will include the following activities, to be undertaken by the PIU working closely with the project beneficiary healthcare facilities:  </w:t>
      </w:r>
    </w:p>
    <w:p w14:paraId="000001F8"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b/>
        </w:rPr>
        <w:t>Screening</w:t>
      </w:r>
      <w:r>
        <w:rPr>
          <w:rFonts w:ascii="Times New Roman" w:eastAsia="Times New Roman" w:hAnsi="Times New Roman" w:cs="Times New Roman"/>
        </w:rPr>
        <w:t xml:space="preserve"> – all activities undertaken by the project will be screened using the form found in Annex I in order to exclude ineligible and high-risk activities, identify potential environmental and social issues, and classify the environmental and social risks. Copies of each of these screening forms will be kept at the PIU. The PIU’s quarterly report to the World Bank will include copies of each screening undertaken during the subject quarter.</w:t>
      </w:r>
    </w:p>
    <w:p w14:paraId="000001F9"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b/>
        </w:rPr>
        <w:t xml:space="preserve">Environment and Social Instruments – </w:t>
      </w:r>
      <w:r>
        <w:rPr>
          <w:rFonts w:ascii="Times New Roman" w:eastAsia="Times New Roman" w:hAnsi="Times New Roman" w:cs="Times New Roman"/>
        </w:rPr>
        <w:t xml:space="preserve">The PIU and the project beneficiary healthcare facilities will prepare and implement the necessary environmental and social instruments for each activity financed under the project. The instruments will be prepared in Georgian and English languages. The scope of this Emergency COVID-19 Response Project requires following three types of environmental and social instruments:  </w:t>
      </w:r>
    </w:p>
    <w:p w14:paraId="000001FA" w14:textId="77777777" w:rsidR="009F1887" w:rsidRDefault="00790D5B">
      <w:pPr>
        <w:keepNext/>
        <w:widowControl w:val="0"/>
        <w:spacing w:after="160"/>
        <w:ind w:left="540"/>
        <w:jc w:val="both"/>
        <w:rPr>
          <w:rFonts w:ascii="Times New Roman" w:eastAsia="Times New Roman" w:hAnsi="Times New Roman" w:cs="Times New Roman"/>
        </w:rPr>
      </w:pPr>
      <w:r>
        <w:rPr>
          <w:rFonts w:ascii="Times New Roman" w:eastAsia="Times New Roman" w:hAnsi="Times New Roman" w:cs="Times New Roman"/>
          <w:b/>
        </w:rPr>
        <w:t>ESMPs</w:t>
      </w:r>
      <w:r>
        <w:rPr>
          <w:rFonts w:ascii="Times New Roman" w:eastAsia="Times New Roman" w:hAnsi="Times New Roman" w:cs="Times New Roman"/>
        </w:rPr>
        <w:t xml:space="preserve"> – after the screening, ESMPs, based on the sample found in Annex II, will be prepared for any small-scale works to be conducted in healthcare facilities. Once approved, the ESMPs will be included in the bidding documents and then attached to the contracts for the provision of civil works and works supervision services. </w:t>
      </w:r>
    </w:p>
    <w:p w14:paraId="000001FB" w14:textId="77777777" w:rsidR="009F1887" w:rsidRDefault="00790D5B">
      <w:pPr>
        <w:keepNext/>
        <w:widowControl w:val="0"/>
        <w:spacing w:after="160"/>
        <w:ind w:left="540"/>
        <w:jc w:val="both"/>
        <w:rPr>
          <w:rFonts w:ascii="Times New Roman" w:eastAsia="Times New Roman" w:hAnsi="Times New Roman" w:cs="Times New Roman"/>
        </w:rPr>
      </w:pPr>
      <w:r>
        <w:rPr>
          <w:rFonts w:ascii="Times New Roman" w:eastAsia="Times New Roman" w:hAnsi="Times New Roman" w:cs="Times New Roman"/>
          <w:b/>
        </w:rPr>
        <w:t>ICWMPs</w:t>
      </w:r>
      <w:r>
        <w:rPr>
          <w:rFonts w:ascii="Times New Roman" w:eastAsia="Times New Roman" w:hAnsi="Times New Roman" w:cs="Times New Roman"/>
        </w:rPr>
        <w:t xml:space="preserve"> – each beneficiary healthcare facility will prepare and implement an ICWMP, based on </w:t>
      </w:r>
      <w:r>
        <w:rPr>
          <w:rFonts w:ascii="Times New Roman" w:eastAsia="Times New Roman" w:hAnsi="Times New Roman" w:cs="Times New Roman"/>
        </w:rPr>
        <w:lastRenderedPageBreak/>
        <w:t xml:space="preserve">the sample found in Annex III. </w:t>
      </w:r>
    </w:p>
    <w:p w14:paraId="000001FC" w14:textId="77777777" w:rsidR="009F1887" w:rsidRDefault="00790D5B">
      <w:pPr>
        <w:keepNext/>
        <w:widowControl w:val="0"/>
        <w:spacing w:after="160"/>
        <w:ind w:left="540"/>
        <w:jc w:val="both"/>
        <w:rPr>
          <w:rFonts w:ascii="Times New Roman" w:eastAsia="Times New Roman" w:hAnsi="Times New Roman" w:cs="Times New Roman"/>
        </w:rPr>
      </w:pPr>
      <w:r>
        <w:rPr>
          <w:rFonts w:ascii="Times New Roman" w:eastAsia="Times New Roman" w:hAnsi="Times New Roman" w:cs="Times New Roman"/>
          <w:b/>
        </w:rPr>
        <w:t xml:space="preserve">SEP – </w:t>
      </w:r>
      <w:r>
        <w:rPr>
          <w:rFonts w:ascii="Times New Roman" w:eastAsia="Times New Roman" w:hAnsi="Times New Roman" w:cs="Times New Roman"/>
        </w:rPr>
        <w:t xml:space="preserve">MoILHSA prepared a SEP for the project and it is applicable to all project-financed activities. It is an important reference for stakeholder outreach, communication, public awareness, operation of GRM and other information channels. </w:t>
      </w:r>
    </w:p>
    <w:p w14:paraId="000001FD"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b/>
        </w:rPr>
        <w:t>Consultation and Disclosure</w:t>
      </w:r>
      <w:r>
        <w:rPr>
          <w:rFonts w:ascii="Times New Roman" w:eastAsia="Times New Roman" w:hAnsi="Times New Roman" w:cs="Times New Roman"/>
        </w:rPr>
        <w:t xml:space="preserve"> – given the need for social distancing during the COVID-19 pandemic, stakeholder consultations for the environmental and social instruments may need to be conducted virtually whenever possible. The PIU and the beneficiary healthcare facilities will identify key stakeholders for each of the three instruments and organize consultations via phone, email, and - for HCF employees - small meetings of no more than ten individuals at a time. For the ICWMP, key stakeholders must include patients and their families – meaning consultations will need to be continuous as new patients are identified. For SEP, some sort of public call for input will be made via media. All instruments will be disclosed through the web pages of MoILHSA and the beneficiary healthcare facilities, if existing, with print copies also available, on demand, at both. These documents will also be disclosed through the external web page of the World Bank. </w:t>
      </w:r>
    </w:p>
    <w:p w14:paraId="000001FE"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b/>
        </w:rPr>
        <w:t>Review and Approval</w:t>
      </w:r>
      <w:r>
        <w:rPr>
          <w:rFonts w:ascii="Times New Roman" w:eastAsia="Times New Roman" w:hAnsi="Times New Roman" w:cs="Times New Roman"/>
        </w:rPr>
        <w:t xml:space="preserve"> – environmental and social management instruments will be prepared by the concerned healthcare facilities with the support of PIU and reviewed and accepted by the World Bank. </w:t>
      </w:r>
    </w:p>
    <w:p w14:paraId="000001FF"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b/>
        </w:rPr>
        <w:t>Implementation</w:t>
      </w:r>
      <w:r>
        <w:rPr>
          <w:rFonts w:ascii="Times New Roman" w:eastAsia="Times New Roman" w:hAnsi="Times New Roman" w:cs="Times New Roman"/>
        </w:rPr>
        <w:t xml:space="preserve"> – the individual beneficiary healthcare facilities will be responsible for the implementation of the environmental and social management instruments. The PIU will provide implementation support and supervision. </w:t>
      </w:r>
    </w:p>
    <w:p w14:paraId="00000200"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rPr>
        <w:t>PIU will be responsible for Environmental and Social Screening of project activities and monitoring of implementation of environmental and social management instruments.</w:t>
      </w:r>
    </w:p>
    <w:p w14:paraId="00000201"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rPr>
        <w:t>Beneficiary healthcare facilities will ensure development of environmental and social management instruments such as ESMPs, ICWMPs, Occupational Health and safety procedures, Code of Conduct, GRM in compliance with WB ESF and ESMF of Georgia Emergency COVID-19 Response Project. PIU will provide guidance and support in elaboration of mentioned instruments.</w:t>
      </w:r>
    </w:p>
    <w:p w14:paraId="00000202" w14:textId="77777777" w:rsidR="009F1887" w:rsidRDefault="009F1887">
      <w:pPr>
        <w:keepNext/>
        <w:widowControl w:val="0"/>
        <w:spacing w:after="160"/>
        <w:jc w:val="both"/>
        <w:rPr>
          <w:rFonts w:ascii="Times New Roman" w:eastAsia="Times New Roman" w:hAnsi="Times New Roman" w:cs="Times New Roman"/>
        </w:rPr>
      </w:pPr>
    </w:p>
    <w:p w14:paraId="00000203" w14:textId="77777777" w:rsidR="009F1887" w:rsidRDefault="00790D5B">
      <w:pPr>
        <w:keepNext/>
        <w:widowControl w:val="0"/>
        <w:spacing w:after="160"/>
        <w:jc w:val="both"/>
        <w:rPr>
          <w:rFonts w:ascii="Times New Roman" w:eastAsia="Times New Roman" w:hAnsi="Times New Roman" w:cs="Times New Roman"/>
        </w:rPr>
      </w:pPr>
      <w:r>
        <w:rPr>
          <w:rFonts w:ascii="Times New Roman" w:eastAsia="Times New Roman" w:hAnsi="Times New Roman" w:cs="Times New Roman"/>
          <w:b/>
        </w:rPr>
        <w:t>Monitoring and Reporting</w:t>
      </w:r>
      <w:r>
        <w:rPr>
          <w:rFonts w:ascii="Times New Roman" w:eastAsia="Times New Roman" w:hAnsi="Times New Roman" w:cs="Times New Roman"/>
        </w:rPr>
        <w:t xml:space="preserve"> – there will be two types of reports: monthly reports from the beneficiary healthcare facilities to the PIU and quarterly reports from the PIU to the World Bank.</w:t>
      </w:r>
    </w:p>
    <w:p w14:paraId="00000204" w14:textId="77777777" w:rsidR="009F1887" w:rsidRDefault="00790D5B">
      <w:pPr>
        <w:keepNext/>
        <w:widowControl w:val="0"/>
        <w:tabs>
          <w:tab w:val="left" w:pos="360"/>
        </w:tabs>
        <w:spacing w:after="160"/>
        <w:ind w:left="360"/>
        <w:jc w:val="both"/>
        <w:rPr>
          <w:rFonts w:ascii="Times New Roman" w:eastAsia="Times New Roman" w:hAnsi="Times New Roman" w:cs="Times New Roman"/>
        </w:rPr>
      </w:pPr>
      <w:r>
        <w:rPr>
          <w:rFonts w:ascii="Times New Roman" w:eastAsia="Times New Roman" w:hAnsi="Times New Roman" w:cs="Times New Roman"/>
          <w:b/>
          <w:i/>
        </w:rPr>
        <w:t>Monthly Reports</w:t>
      </w:r>
      <w:r>
        <w:rPr>
          <w:rFonts w:ascii="Times New Roman" w:eastAsia="Times New Roman" w:hAnsi="Times New Roman" w:cs="Times New Roman"/>
        </w:rPr>
        <w:t xml:space="preserve"> - individual HCFs will prepare monthly reports to the PIU on each activity being undertaken. These reports will include progress on any on-going small works, statistics related to the implementation of the ICWMP, statistics related to local hotlines, any grievances received via the GRM and information on their resolution, and any other relevant information.</w:t>
      </w:r>
    </w:p>
    <w:p w14:paraId="00000205" w14:textId="77777777" w:rsidR="009F1887" w:rsidRDefault="00790D5B">
      <w:pPr>
        <w:keepNext/>
        <w:widowControl w:val="0"/>
        <w:tabs>
          <w:tab w:val="left" w:pos="360"/>
        </w:tabs>
        <w:spacing w:after="160"/>
        <w:ind w:left="360"/>
        <w:jc w:val="both"/>
        <w:rPr>
          <w:rFonts w:ascii="Times New Roman" w:eastAsia="Times New Roman" w:hAnsi="Times New Roman" w:cs="Times New Roman"/>
        </w:rPr>
      </w:pPr>
      <w:r>
        <w:rPr>
          <w:rFonts w:ascii="Times New Roman" w:eastAsia="Times New Roman" w:hAnsi="Times New Roman" w:cs="Times New Roman"/>
          <w:b/>
          <w:i/>
        </w:rPr>
        <w:t>Quarterly Reports</w:t>
      </w:r>
      <w:r>
        <w:rPr>
          <w:rFonts w:ascii="Times New Roman" w:eastAsia="Times New Roman" w:hAnsi="Times New Roman" w:cs="Times New Roman"/>
          <w:b/>
        </w:rPr>
        <w:t xml:space="preserve"> </w:t>
      </w:r>
      <w:r>
        <w:rPr>
          <w:rFonts w:ascii="Times New Roman" w:eastAsia="Times New Roman" w:hAnsi="Times New Roman" w:cs="Times New Roman"/>
        </w:rPr>
        <w:t xml:space="preserve">– the PIU will submit an overall report of project implementation to the Bank every quarter the project is active. These reports will include statistics on national project implementation; a summary of grievances received and their resolution, a summary of activities for each individual beneficiary healthcare facility and copies of screenings and site-specific instruments prepared during the subject quarter.  Quarterly reports will be integrated into MoILHSA’s general project progress </w:t>
      </w:r>
      <w:r>
        <w:rPr>
          <w:rFonts w:ascii="Times New Roman" w:eastAsia="Times New Roman" w:hAnsi="Times New Roman" w:cs="Times New Roman"/>
        </w:rPr>
        <w:lastRenderedPageBreak/>
        <w:t>reporting to the World Bank.</w:t>
      </w:r>
    </w:p>
    <w:p w14:paraId="00000206" w14:textId="77777777" w:rsidR="009F1887" w:rsidRDefault="00790D5B">
      <w:pPr>
        <w:spacing w:after="160"/>
        <w:jc w:val="both"/>
        <w:rPr>
          <w:rFonts w:ascii="Times New Roman" w:eastAsia="Times New Roman" w:hAnsi="Times New Roman" w:cs="Times New Roman"/>
        </w:rPr>
      </w:pPr>
      <w:bookmarkStart w:id="614" w:name="_heading=h.3whwml4" w:colFirst="0" w:colLast="0"/>
      <w:bookmarkEnd w:id="614"/>
      <w:r>
        <w:rPr>
          <w:rFonts w:ascii="Times New Roman" w:eastAsia="Times New Roman" w:hAnsi="Times New Roman" w:cs="Times New Roman"/>
          <w:b/>
        </w:rPr>
        <w:t xml:space="preserve">Infection Control and Waste Management - </w:t>
      </w:r>
      <w:r>
        <w:rPr>
          <w:rFonts w:ascii="Times New Roman" w:eastAsia="Times New Roman" w:hAnsi="Times New Roman" w:cs="Times New Roman"/>
        </w:rPr>
        <w:t xml:space="preserve">The PIU and project beneficiary healthcare facilities are responsible for implementing actions to prevent the spread of COVID-19 and ensure proper treatment of medical waste at all stages of project operations. The two main instruments to be used - ESMP and ICWMP - are described above and further outlined in Annexes II and III. Key principles, included in those instruments, that are to be maintained by the project throughout implementation include the following: </w:t>
      </w:r>
    </w:p>
    <w:p w14:paraId="00000207" w14:textId="77777777" w:rsidR="009F1887" w:rsidRDefault="00790D5B">
      <w:pPr>
        <w:keepNext/>
        <w:widowControl w:val="0"/>
        <w:spacing w:after="160"/>
        <w:ind w:left="360"/>
        <w:jc w:val="both"/>
        <w:rPr>
          <w:rFonts w:ascii="Times New Roman" w:eastAsia="Times New Roman" w:hAnsi="Times New Roman" w:cs="Times New Roman"/>
        </w:rPr>
      </w:pPr>
      <w:r>
        <w:rPr>
          <w:rFonts w:ascii="Times New Roman" w:eastAsia="Times New Roman" w:hAnsi="Times New Roman" w:cs="Times New Roman"/>
          <w:b/>
          <w:i/>
        </w:rPr>
        <w:t xml:space="preserve">Ensuring occupational health and safety standards for workers. </w:t>
      </w:r>
      <w:r>
        <w:rPr>
          <w:rFonts w:ascii="Times New Roman" w:eastAsia="Times New Roman" w:hAnsi="Times New Roman" w:cs="Times New Roman"/>
        </w:rPr>
        <w:t xml:space="preserve">The ESMP and ICWMP should address applicable elements of occupational health and safety management as described in the World Bank Group ESH Guidelines. Each instrument should identify specific potential occupational hazards, including those related to the COVID-19 pathogen. The ICWMP specifically will deal with the ensuring adequate facilities for handwashing, cleaning and decontamination procedures, use of PPEs, and disposal of medical waste.  </w:t>
      </w:r>
    </w:p>
    <w:p w14:paraId="00000208" w14:textId="77777777" w:rsidR="009F1887" w:rsidRDefault="00790D5B">
      <w:pPr>
        <w:keepNext/>
        <w:widowControl w:val="0"/>
        <w:spacing w:after="120"/>
        <w:ind w:left="360"/>
        <w:jc w:val="both"/>
        <w:rPr>
          <w:rFonts w:ascii="Times New Roman" w:eastAsia="Times New Roman" w:hAnsi="Times New Roman" w:cs="Times New Roman"/>
        </w:rPr>
      </w:pPr>
      <w:r>
        <w:rPr>
          <w:rFonts w:ascii="Times New Roman" w:eastAsia="Times New Roman" w:hAnsi="Times New Roman" w:cs="Times New Roman"/>
          <w:b/>
          <w:i/>
        </w:rPr>
        <w:t>Requirements for handling dead bodies</w:t>
      </w:r>
      <w:r>
        <w:rPr>
          <w:rFonts w:ascii="Times New Roman" w:eastAsia="Times New Roman" w:hAnsi="Times New Roman" w:cs="Times New Roman"/>
        </w:rPr>
        <w:t>. The WHO Guidelines include guidance on the management of dead bodies in the COVID-19 context</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Healthcare workers, mortuary staff, and others handling bodies should apply standard precaution including hand hygiene before and after interaction with the body, and the environment; and use appropriate PPE according to the level of interaction with the body, including a gown and gloves. If there is a risk of splashes from the body fluids or secretions, personnel should use facial protection, including the use of face shield or goggles and medical masks. </w:t>
      </w:r>
    </w:p>
    <w:p w14:paraId="00000209" w14:textId="77777777" w:rsidR="009F1887" w:rsidRDefault="00EC15FD">
      <w:pPr>
        <w:keepNext/>
        <w:widowControl w:val="0"/>
        <w:spacing w:after="120"/>
        <w:ind w:left="360"/>
        <w:jc w:val="both"/>
        <w:rPr>
          <w:rFonts w:ascii="Times New Roman" w:eastAsia="Times New Roman" w:hAnsi="Times New Roman" w:cs="Times New Roman"/>
        </w:rPr>
      </w:pPr>
      <w:sdt>
        <w:sdtPr>
          <w:tag w:val="goog_rdk_375"/>
          <w:id w:val="-1436053263"/>
        </w:sdtPr>
        <w:sdtContent>
          <w:commentRangeStart w:id="615"/>
        </w:sdtContent>
      </w:sdt>
      <w:r w:rsidR="00790D5B">
        <w:rPr>
          <w:rFonts w:ascii="Times New Roman" w:eastAsia="Times New Roman" w:hAnsi="Times New Roman" w:cs="Times New Roman"/>
          <w:b/>
          <w:i/>
        </w:rPr>
        <w:t xml:space="preserve">Safe handling of medical waste and sharps disposal. </w:t>
      </w:r>
      <w:r w:rsidR="00790D5B">
        <w:rPr>
          <w:rFonts w:ascii="Times New Roman" w:eastAsia="Times New Roman" w:hAnsi="Times New Roman" w:cs="Times New Roman"/>
        </w:rPr>
        <w:t xml:space="preserve">The </w:t>
      </w:r>
      <w:commentRangeEnd w:id="615"/>
      <w:r w:rsidR="00790D5B">
        <w:commentReference w:id="615"/>
      </w:r>
      <w:r w:rsidR="00790D5B">
        <w:rPr>
          <w:rFonts w:ascii="Times New Roman" w:eastAsia="Times New Roman" w:hAnsi="Times New Roman" w:cs="Times New Roman"/>
        </w:rPr>
        <w:t>ICWMP should contain detailed instructions on handling medical waste at a given facility. Medical waste, including any waste suspected to contain pathogens should be segregated and marked “infectious” with international infectious symbol in a strong, leak proof plastic bag, or a container capable of being autoclaved. Medical waste should be sterilized via chemical disinfection, wet thermal treatment (i.e. autoclave), microwave irradiation, or incineration prior to disposal. Sharps, including needles, scalpels, blades, knives, infusion sets, saws, broken glass, and nails etc. should be segregated in a rigid, impermeable, puncture-proof container (e.g. steel or hard plastic) container for sterilization and disposal in accordance with the guidelines. Additionally, needles and syringes should undergo mechanical mutilation (e.g. milling or crushing) prior to treatment, particularly chemical, wet thermal treatment, and microwave irradiation.</w:t>
      </w:r>
    </w:p>
    <w:p w14:paraId="0000020A" w14:textId="77777777" w:rsidR="009F1887" w:rsidRDefault="00790D5B">
      <w:pPr>
        <w:keepNext/>
        <w:widowControl w:val="0"/>
        <w:spacing w:after="120"/>
        <w:ind w:left="360"/>
        <w:jc w:val="both"/>
        <w:rPr>
          <w:rFonts w:ascii="Times New Roman" w:eastAsia="Times New Roman" w:hAnsi="Times New Roman" w:cs="Times New Roman"/>
        </w:rPr>
      </w:pPr>
      <w:r>
        <w:rPr>
          <w:rFonts w:ascii="Times New Roman" w:eastAsia="Times New Roman" w:hAnsi="Times New Roman" w:cs="Times New Roman"/>
          <w:b/>
          <w:i/>
        </w:rPr>
        <w:t xml:space="preserve">Personal Protective Equipment. </w:t>
      </w:r>
      <w:r>
        <w:rPr>
          <w:rFonts w:ascii="Times New Roman" w:eastAsia="Times New Roman" w:hAnsi="Times New Roman" w:cs="Times New Roman"/>
        </w:rPr>
        <w:t>In addition to the World Bank Group EHS Guidelines on PPEs, the WHO has published guidelines on the rational use of PPEs during the COVID-19 pandemic</w:t>
      </w:r>
      <w:r>
        <w:rPr>
          <w:rFonts w:ascii="Times New Roman" w:eastAsia="Times New Roman" w:hAnsi="Times New Roman" w:cs="Times New Roman"/>
          <w:vertAlign w:val="superscript"/>
        </w:rPr>
        <w:footnoteReference w:id="43"/>
      </w:r>
      <w:r>
        <w:rPr>
          <w:rFonts w:ascii="Times New Roman" w:eastAsia="Times New Roman" w:hAnsi="Times New Roman" w:cs="Times New Roman"/>
        </w:rPr>
        <w:t xml:space="preserve">, which highlight the issues faced by the global shortage of PPEs. The ICWMP will take these guidelines into account and ensure that healthcare workers involved in the critical care of COVID-19 patients have the necessary protection and that patients, particularly those who do not require hospitalization, understand their responsibilities for obtaining and wearing PPEs when around others. </w:t>
      </w:r>
    </w:p>
    <w:p w14:paraId="0000020B" w14:textId="77777777" w:rsidR="009F1887" w:rsidRDefault="00790D5B">
      <w:pPr>
        <w:jc w:val="both"/>
        <w:rPr>
          <w:rFonts w:ascii="Times New Roman" w:eastAsia="Times New Roman" w:hAnsi="Times New Roman" w:cs="Times New Roman"/>
        </w:rPr>
      </w:pPr>
      <w:bookmarkStart w:id="616" w:name="_heading=h.2bn6wsx" w:colFirst="0" w:colLast="0"/>
      <w:bookmarkEnd w:id="616"/>
      <w:r>
        <w:rPr>
          <w:rFonts w:ascii="Times New Roman" w:eastAsia="Times New Roman" w:hAnsi="Times New Roman" w:cs="Times New Roman"/>
          <w:b/>
        </w:rPr>
        <w:t xml:space="preserve">Labor Management – </w:t>
      </w:r>
      <w:r>
        <w:rPr>
          <w:rFonts w:ascii="Times New Roman" w:eastAsia="Times New Roman" w:hAnsi="Times New Roman" w:cs="Times New Roman"/>
        </w:rPr>
        <w:t xml:space="preserve">The project is expected to include direct workers and contracted workers. Direct workers could be healthcare workers, government civil servants, and consultant hired to supplement PIU capacity. Contracted workers will be: (i) medical workers in health care facilities (HCF) and laboratories (i.e. doctors, nurses, laboratory workers, clinical trainees); (ii) non-medical workers in health care facilities </w:t>
      </w:r>
      <w:r>
        <w:rPr>
          <w:rFonts w:ascii="Times New Roman" w:eastAsia="Times New Roman" w:hAnsi="Times New Roman" w:cs="Times New Roman"/>
        </w:rPr>
        <w:lastRenderedPageBreak/>
        <w:t xml:space="preserve">(e.g. facility and maintenance staff engaged in food preparation, delivery, technical maintenance, waste management); (iii) workers engaged by firms (contractors) to carry out small interiors repairs and installation works within HCF. The LMP, prepared for the project in line with the ESS 2 and the national legislation of Georgia, is annexed to this ESMF and will be adhered in regard to all types of project workers. The ESMP template for the works, also attached to the ESMF, contains a section on worker health and safety requirements. PIU will be responsible for ensuring that (i) every individual providing works or  consultant services holds a formal valid contract; (ii) the contracted construction companies have Code of Conduct and ESHS plans in place and follow them; and (iii) every project worker has access to project GRM or contractor’s GRM for raising concerns and complaints.  </w:t>
      </w:r>
    </w:p>
    <w:p w14:paraId="0000020C" w14:textId="77777777" w:rsidR="009F1887" w:rsidRDefault="009F1887">
      <w:pPr>
        <w:spacing w:after="240"/>
        <w:jc w:val="both"/>
        <w:rPr>
          <w:rFonts w:ascii="Times New Roman" w:eastAsia="Times New Roman" w:hAnsi="Times New Roman" w:cs="Times New Roman"/>
        </w:rPr>
      </w:pPr>
    </w:p>
    <w:p w14:paraId="0000020D" w14:textId="77777777" w:rsidR="009F1887" w:rsidRDefault="00790D5B">
      <w:pPr>
        <w:pStyle w:val="Heading2"/>
        <w:numPr>
          <w:ilvl w:val="0"/>
          <w:numId w:val="66"/>
        </w:numPr>
        <w:spacing w:before="0" w:after="160"/>
        <w:rPr>
          <w:sz w:val="22"/>
          <w:szCs w:val="22"/>
        </w:rPr>
      </w:pPr>
      <w:bookmarkStart w:id="617" w:name="_heading=h.qsh70q" w:colFirst="0" w:colLast="0"/>
      <w:bookmarkEnd w:id="617"/>
      <w:r>
        <w:rPr>
          <w:sz w:val="22"/>
          <w:szCs w:val="22"/>
        </w:rPr>
        <w:t>Public Consultation and Disclosure</w:t>
      </w:r>
    </w:p>
    <w:p w14:paraId="0000020E" w14:textId="77777777" w:rsidR="009F1887" w:rsidRDefault="00790D5B">
      <w:pPr>
        <w:spacing w:after="160"/>
        <w:jc w:val="both"/>
        <w:rPr>
          <w:rFonts w:ascii="Times New Roman" w:eastAsia="Times New Roman" w:hAnsi="Times New Roman" w:cs="Times New Roman"/>
        </w:rPr>
      </w:pPr>
      <w:r>
        <w:rPr>
          <w:rFonts w:ascii="Times New Roman" w:eastAsia="Times New Roman" w:hAnsi="Times New Roman" w:cs="Times New Roman"/>
        </w:rPr>
        <w:t>MoILHSA and entities under its mandate who are involved in project implementation will ensure information disclosure on their websites both in Georgian and English and will be open for feedback. Consultations will be organized by the PIU using different online channels (email, Facebook, etc.), and records of these on-site discussions will be reflected in final draft of ESMF. Final ESMF cleared by the World Bank will be disclosed on the official web sites of MoILHSA and the World Bank.</w:t>
      </w:r>
    </w:p>
    <w:p w14:paraId="0000020F" w14:textId="77777777" w:rsidR="009F1887" w:rsidRDefault="00790D5B">
      <w:pPr>
        <w:pStyle w:val="Heading2"/>
        <w:numPr>
          <w:ilvl w:val="0"/>
          <w:numId w:val="66"/>
        </w:numPr>
        <w:spacing w:before="0" w:after="160"/>
        <w:rPr>
          <w:sz w:val="22"/>
          <w:szCs w:val="22"/>
        </w:rPr>
      </w:pPr>
      <w:bookmarkStart w:id="618" w:name="_heading=h.3as4poj" w:colFirst="0" w:colLast="0"/>
      <w:bookmarkEnd w:id="618"/>
      <w:r>
        <w:rPr>
          <w:sz w:val="22"/>
          <w:szCs w:val="22"/>
        </w:rPr>
        <w:lastRenderedPageBreak/>
        <w:t>Stakeholder Engagement</w:t>
      </w:r>
    </w:p>
    <w:sdt>
      <w:sdtPr>
        <w:tag w:val="goog_rdk_382"/>
        <w:id w:val="481126721"/>
      </w:sdtPr>
      <w:sdtContent>
        <w:p w14:paraId="00000210" w14:textId="77777777" w:rsidR="009F1887" w:rsidRDefault="00EC15FD">
          <w:pPr>
            <w:keepNext/>
            <w:keepLines/>
            <w:pBdr>
              <w:top w:val="nil"/>
              <w:left w:val="nil"/>
              <w:bottom w:val="nil"/>
              <w:right w:val="nil"/>
              <w:between w:val="nil"/>
            </w:pBdr>
            <w:spacing w:after="160"/>
            <w:jc w:val="both"/>
            <w:rPr>
              <w:ins w:id="619" w:author="Author" w:date="2020-07-15T05:14:00Z"/>
              <w:rFonts w:ascii="Times New Roman" w:eastAsia="Times New Roman" w:hAnsi="Times New Roman" w:cs="Times New Roman"/>
              <w:color w:val="000000"/>
            </w:rPr>
          </w:pPr>
          <w:sdt>
            <w:sdtPr>
              <w:tag w:val="goog_rdk_377"/>
              <w:id w:val="1693413320"/>
            </w:sdtPr>
            <w:sdtContent>
              <w:ins w:id="620" w:author="Author" w:date="2020-07-15T05:14:00Z">
                <w:r w:rsidR="00790D5B">
                  <w:rPr>
                    <w:rFonts w:ascii="Times New Roman" w:eastAsia="Times New Roman" w:hAnsi="Times New Roman" w:cs="Times New Roman"/>
                    <w:color w:val="000000"/>
                  </w:rPr>
                  <w:t xml:space="preserve">Draft Stakeholder Engagement Plan (SEP) for Georgia Emergency COVID-19 Project is has been </w:t>
                </w:r>
              </w:ins>
              <w:customXmlInsRangeStart w:id="621" w:author="Author" w:date="2020-07-15T05:14:00Z"/>
              <w:sdt>
                <w:sdtPr>
                  <w:tag w:val="goog_rdk_378"/>
                  <w:id w:val="-1907986682"/>
                </w:sdtPr>
                <w:sdtContent>
                  <w:customXmlInsRangeEnd w:id="621"/>
                  <w:ins w:id="622" w:author="Author" w:date="2020-07-15T05:14:00Z">
                    <w:del w:id="623" w:author="Author" w:date="2020-07-15T05:14:00Z">
                      <w:r w:rsidR="00790D5B">
                        <w:rPr>
                          <w:rFonts w:ascii="Times New Roman" w:eastAsia="Times New Roman" w:hAnsi="Times New Roman" w:cs="Times New Roman"/>
                          <w:color w:val="000000"/>
                        </w:rPr>
                        <w:delText xml:space="preserve">being </w:delText>
                      </w:r>
                    </w:del>
                  </w:ins>
                  <w:customXmlInsRangeStart w:id="624" w:author="Author" w:date="2020-07-15T05:14:00Z"/>
                </w:sdtContent>
              </w:sdt>
              <w:customXmlInsRangeEnd w:id="624"/>
              <w:ins w:id="625" w:author="Author" w:date="2020-07-15T05:14:00Z">
                <w:r w:rsidR="00790D5B">
                  <w:rPr>
                    <w:rFonts w:ascii="Times New Roman" w:eastAsia="Times New Roman" w:hAnsi="Times New Roman" w:cs="Times New Roman"/>
                    <w:color w:val="000000"/>
                  </w:rPr>
                  <w:t xml:space="preserve">prepared according to Environmental and Social Standard ESS 10 on “Stakeholder Engagement and Information Disclosure” under the World Bank’s Environment and Social Framework (ESF). SEP includes </w:t>
                </w:r>
              </w:ins>
              <w:customXmlInsRangeStart w:id="626" w:author="Author" w:date="2020-07-15T05:14:00Z"/>
              <w:sdt>
                <w:sdtPr>
                  <w:tag w:val="goog_rdk_379"/>
                  <w:id w:val="40722153"/>
                </w:sdtPr>
                <w:sdtContent>
                  <w:customXmlInsRangeEnd w:id="626"/>
                  <w:ins w:id="627" w:author="Author" w:date="2020-07-15T05:14:00Z">
                    <w:del w:id="628" w:author="Author" w:date="2020-07-15T05:14:00Z">
                      <w:r w:rsidR="00790D5B">
                        <w:rPr>
                          <w:rFonts w:ascii="Times New Roman" w:eastAsia="Times New Roman" w:hAnsi="Times New Roman" w:cs="Times New Roman"/>
                          <w:color w:val="000000"/>
                        </w:rPr>
                        <w:delText>was prepared according to Stakeholder Engagement Plan template for the requirements on stakeholder engagement and grievance mechanism for ESS 10</w:delText>
                      </w:r>
                      <w:r w:rsidR="00790D5B">
                        <w:rPr>
                          <w:rFonts w:ascii="Times New Roman" w:eastAsia="Times New Roman" w:hAnsi="Times New Roman" w:cs="Times New Roman"/>
                          <w:color w:val="000000"/>
                          <w:vertAlign w:val="superscript"/>
                        </w:rPr>
                        <w:footnoteReference w:id="44"/>
                      </w:r>
                      <w:r w:rsidR="00790D5B">
                        <w:rPr>
                          <w:rFonts w:ascii="Times New Roman" w:eastAsia="Times New Roman" w:hAnsi="Times New Roman" w:cs="Times New Roman"/>
                          <w:color w:val="000000"/>
                        </w:rPr>
                        <w:delText xml:space="preserve"> and aims at developing a of </w:delText>
                      </w:r>
                    </w:del>
                  </w:ins>
                  <w:customXmlInsRangeStart w:id="633" w:author="Author" w:date="2020-07-15T05:14:00Z"/>
                </w:sdtContent>
              </w:sdt>
              <w:customXmlInsRangeEnd w:id="633"/>
              <w:ins w:id="634" w:author="Author" w:date="2020-07-15T05:14:00Z">
                <w:r w:rsidR="00790D5B">
                  <w:rPr>
                    <w:rFonts w:ascii="Times New Roman" w:eastAsia="Times New Roman" w:hAnsi="Times New Roman" w:cs="Times New Roman"/>
                    <w:color w:val="000000"/>
                  </w:rPr>
                  <w:t xml:space="preserve">Stakeholder Engagement Program to provide stakeholders with timely, relevant, understandable and accessible information and consult with them in a culturally appropriate manner, which is free of manipulation, interference, coercion, discrimination and intimidation. </w:t>
                </w:r>
              </w:ins>
            </w:sdtContent>
          </w:sdt>
          <w:sdt>
            <w:sdtPr>
              <w:tag w:val="goog_rdk_380"/>
              <w:id w:val="-156853796"/>
            </w:sdtPr>
            <w:sdtContent>
              <w:del w:id="635" w:author="Author" w:date="2020-07-15T05:14:00Z">
                <w:r w:rsidR="00790D5B">
                  <w:rPr>
                    <w:rFonts w:ascii="Times New Roman" w:eastAsia="Times New Roman" w:hAnsi="Times New Roman" w:cs="Times New Roman"/>
                    <w:color w:val="000000"/>
                  </w:rPr>
                  <w:delText>Please refer to the Stakeholder</w:delText>
                </w:r>
                <w:r w:rsidR="00790D5B">
                  <w:rPr>
                    <w:rFonts w:ascii="Times New Roman" w:eastAsia="Times New Roman" w:hAnsi="Times New Roman" w:cs="Times New Roman"/>
                    <w:color w:val="000000"/>
                    <w:highlight w:val="yellow"/>
                  </w:rPr>
                  <w:delText xml:space="preserve"> Engagement Plan template for the requirements on stakeholder engagement and grievance mechanism.</w:delText>
                </w:r>
                <w:r w:rsidR="00790D5B">
                  <w:rPr>
                    <w:rFonts w:ascii="Times New Roman" w:eastAsia="Times New Roman" w:hAnsi="Times New Roman" w:cs="Times New Roman"/>
                    <w:color w:val="000000"/>
                    <w:highlight w:val="yellow"/>
                    <w:vertAlign w:val="superscript"/>
                  </w:rPr>
                  <w:footnoteReference w:id="45"/>
                </w:r>
                <w:r w:rsidR="00790D5B">
                  <w:rPr>
                    <w:rFonts w:ascii="Times New Roman" w:eastAsia="Times New Roman" w:hAnsi="Times New Roman" w:cs="Times New Roman"/>
                    <w:color w:val="000000"/>
                  </w:rPr>
                  <w:delText xml:space="preserve"> </w:delText>
                </w:r>
              </w:del>
            </w:sdtContent>
          </w:sdt>
          <w:sdt>
            <w:sdtPr>
              <w:tag w:val="goog_rdk_381"/>
              <w:id w:val="-388414610"/>
            </w:sdtPr>
            <w:sdtContent/>
          </w:sdt>
        </w:p>
      </w:sdtContent>
    </w:sdt>
    <w:bookmarkStart w:id="637" w:name="_heading=h.1pxezwc" w:colFirst="0" w:colLast="0" w:displacedByCustomXml="next"/>
    <w:bookmarkEnd w:id="637" w:displacedByCustomXml="next"/>
    <w:sdt>
      <w:sdtPr>
        <w:tag w:val="goog_rdk_384"/>
        <w:id w:val="45429921"/>
      </w:sdtPr>
      <w:sdtContent>
        <w:p w14:paraId="00000211" w14:textId="77777777" w:rsidR="009F1887" w:rsidRDefault="00EC15FD">
          <w:pPr>
            <w:keepNext/>
            <w:keepLines/>
            <w:pBdr>
              <w:top w:val="nil"/>
              <w:left w:val="nil"/>
              <w:bottom w:val="nil"/>
              <w:right w:val="nil"/>
              <w:between w:val="nil"/>
            </w:pBdr>
            <w:spacing w:after="160"/>
            <w:jc w:val="both"/>
            <w:rPr>
              <w:ins w:id="638" w:author="Author" w:date="2020-07-15T05:14:00Z"/>
              <w:rFonts w:ascii="Times New Roman" w:eastAsia="Times New Roman" w:hAnsi="Times New Roman" w:cs="Times New Roman"/>
              <w:b/>
              <w:color w:val="000000"/>
            </w:rPr>
          </w:pPr>
          <w:sdt>
            <w:sdtPr>
              <w:tag w:val="goog_rdk_383"/>
              <w:id w:val="942193406"/>
            </w:sdtPr>
            <w:sdtContent>
              <w:ins w:id="639" w:author="Author" w:date="2020-07-15T05:14:00Z">
                <w:r w:rsidR="00790D5B">
                  <w:rPr>
                    <w:rFonts w:ascii="Times New Roman" w:eastAsia="Times New Roman" w:hAnsi="Times New Roman" w:cs="Times New Roman"/>
                    <w:color w:val="000000"/>
                  </w:rPr>
                  <w:t>The SEP defines a program for stakeholder engagement, including public information disclosure and consultation, throughout the entire project cycle. The SEP outlines the ways in which the project team will communicate with stakeholders and includes a mechanism by which people can raise concerns, provide feedback, or make grievances about project and any activities related to the project. The involvement of the local population is essential to the success of the project in order to ensure smooth collaboration between project staff and local communities and to minimize and mitigate environmental and social risks related to the proposed project activities. In the context of infectious diseases, broad, culturally appropriate, and adapted awareness raising activities are particularly important to properly sensitize the communities to the risks related to infectious diseases.</w:t>
                </w:r>
              </w:ins>
            </w:sdtContent>
          </w:sdt>
        </w:p>
      </w:sdtContent>
    </w:sdt>
    <w:sdt>
      <w:sdtPr>
        <w:tag w:val="goog_rdk_391"/>
        <w:id w:val="1138310376"/>
      </w:sdtPr>
      <w:sdtContent>
        <w:p w14:paraId="00000212" w14:textId="77777777" w:rsidR="009F1887" w:rsidRDefault="00EC15FD">
          <w:pPr>
            <w:keepNext/>
            <w:keepLines/>
            <w:pBdr>
              <w:top w:val="nil"/>
              <w:left w:val="nil"/>
              <w:bottom w:val="nil"/>
              <w:right w:val="nil"/>
              <w:between w:val="nil"/>
            </w:pBdr>
            <w:spacing w:after="160"/>
            <w:jc w:val="both"/>
            <w:rPr>
              <w:del w:id="640" w:author="Author" w:date="2020-07-15T05:14:00Z"/>
              <w:rFonts w:ascii="Times New Roman" w:eastAsia="Times New Roman" w:hAnsi="Times New Roman" w:cs="Times New Roman"/>
              <w:color w:val="000000"/>
            </w:rPr>
          </w:pPr>
          <w:sdt>
            <w:sdtPr>
              <w:tag w:val="goog_rdk_385"/>
              <w:id w:val="632600620"/>
            </w:sdtPr>
            <w:sdtContent>
              <w:ins w:id="641" w:author="Author" w:date="2020-07-15T05:14:00Z">
                <w:r w:rsidR="00790D5B">
                  <w:rPr>
                    <w:rFonts w:ascii="Times New Roman" w:eastAsia="Times New Roman" w:hAnsi="Times New Roman" w:cs="Times New Roman"/>
                    <w:color w:val="000000"/>
                  </w:rPr>
                  <w:t xml:space="preserve">After project GRM is developed and integrated in SEP,  the SEP </w:t>
                </w:r>
              </w:ins>
              <w:customXmlInsRangeStart w:id="642" w:author="Author" w:date="2020-07-15T05:14:00Z"/>
              <w:sdt>
                <w:sdtPr>
                  <w:tag w:val="goog_rdk_386"/>
                  <w:id w:val="1600759572"/>
                </w:sdtPr>
                <w:sdtContent>
                  <w:customXmlInsRangeEnd w:id="642"/>
                  <w:ins w:id="643" w:author="Author" w:date="2020-07-15T05:14:00Z">
                    <w:del w:id="644" w:author="Author" w:date="2020-07-15T05:14:00Z">
                      <w:r w:rsidR="00790D5B">
                        <w:rPr>
                          <w:rFonts w:ascii="Times New Roman" w:eastAsia="Times New Roman" w:hAnsi="Times New Roman" w:cs="Times New Roman"/>
                          <w:color w:val="000000"/>
                        </w:rPr>
                        <w:delText>and GRM integrated in it</w:delText>
                      </w:r>
                    </w:del>
                  </w:ins>
                  <w:customXmlInsRangeStart w:id="645" w:author="Author" w:date="2020-07-15T05:14:00Z"/>
                </w:sdtContent>
              </w:sdt>
              <w:customXmlInsRangeEnd w:id="645"/>
              <w:ins w:id="646" w:author="Author" w:date="2020-07-15T05:14:00Z">
                <w:r w:rsidR="00790D5B">
                  <w:rPr>
                    <w:rFonts w:ascii="Times New Roman" w:eastAsia="Times New Roman" w:hAnsi="Times New Roman" w:cs="Times New Roman"/>
                    <w:color w:val="000000"/>
                  </w:rPr>
                  <w:t xml:space="preserve"> will be updated </w:t>
                </w:r>
              </w:ins>
              <w:customXmlInsRangeStart w:id="647" w:author="Author" w:date="2020-07-15T05:14:00Z"/>
              <w:sdt>
                <w:sdtPr>
                  <w:tag w:val="goog_rdk_387"/>
                  <w:id w:val="332735935"/>
                </w:sdtPr>
                <w:sdtContent>
                  <w:customXmlInsRangeEnd w:id="647"/>
                  <w:ins w:id="648" w:author="Author" w:date="2020-07-15T05:14:00Z">
                    <w:del w:id="649" w:author="Author" w:date="2020-07-15T05:14:00Z">
                      <w:r w:rsidR="00790D5B">
                        <w:rPr>
                          <w:rFonts w:ascii="Times New Roman" w:eastAsia="Times New Roman" w:hAnsi="Times New Roman" w:cs="Times New Roman"/>
                          <w:color w:val="000000"/>
                        </w:rPr>
                        <w:delText>and finalized, the they will be</w:delText>
                      </w:r>
                    </w:del>
                  </w:ins>
                  <w:customXmlInsRangeStart w:id="650" w:author="Author" w:date="2020-07-15T05:14:00Z"/>
                </w:sdtContent>
              </w:sdt>
              <w:customXmlInsRangeEnd w:id="650"/>
              <w:ins w:id="651" w:author="Author" w:date="2020-07-15T05:14:00Z">
                <w:r w:rsidR="00790D5B">
                  <w:rPr>
                    <w:rFonts w:ascii="Times New Roman" w:eastAsia="Times New Roman" w:hAnsi="Times New Roman" w:cs="Times New Roman"/>
                    <w:color w:val="000000"/>
                  </w:rPr>
                  <w:t xml:space="preserve"> and consulted with beneficiary communities and other stakeholders as well, according to stakeholder engagement program provided in the Plan. The final SEP will be   </w:t>
                </w:r>
              </w:ins>
              <w:customXmlInsRangeStart w:id="652" w:author="Author" w:date="2020-07-15T05:14:00Z"/>
              <w:sdt>
                <w:sdtPr>
                  <w:tag w:val="goog_rdk_388"/>
                  <w:id w:val="1855763368"/>
                </w:sdtPr>
                <w:sdtContent>
                  <w:customXmlInsRangeEnd w:id="652"/>
                  <w:ins w:id="653" w:author="Author" w:date="2020-07-15T05:14:00Z">
                    <w:del w:id="654" w:author="Author" w:date="2020-07-15T05:14:00Z">
                      <w:r w:rsidR="00790D5B">
                        <w:rPr>
                          <w:rFonts w:ascii="Times New Roman" w:eastAsia="Times New Roman" w:hAnsi="Times New Roman" w:cs="Times New Roman"/>
                          <w:color w:val="000000"/>
                        </w:rPr>
                        <w:delText xml:space="preserve">and </w:delText>
                      </w:r>
                    </w:del>
                  </w:ins>
                  <w:customXmlInsRangeStart w:id="655" w:author="Author" w:date="2020-07-15T05:14:00Z"/>
                </w:sdtContent>
              </w:sdt>
              <w:customXmlInsRangeEnd w:id="655"/>
              <w:ins w:id="656" w:author="Author" w:date="2020-07-15T05:14:00Z">
                <w:r w:rsidR="00790D5B">
                  <w:rPr>
                    <w:rFonts w:ascii="Times New Roman" w:eastAsia="Times New Roman" w:hAnsi="Times New Roman" w:cs="Times New Roman"/>
                    <w:color w:val="000000"/>
                  </w:rPr>
                  <w:t xml:space="preserve">disclosed on the </w:t>
                </w:r>
              </w:ins>
              <w:customXmlInsRangeStart w:id="657" w:author="Author" w:date="2020-07-15T05:14:00Z"/>
              <w:sdt>
                <w:sdtPr>
                  <w:tag w:val="goog_rdk_389"/>
                  <w:id w:val="-2013370515"/>
                </w:sdtPr>
                <w:sdtContent>
                  <w:customXmlInsRangeEnd w:id="657"/>
                  <w:ins w:id="658" w:author="Author" w:date="2020-07-15T05:14:00Z">
                    <w:del w:id="659" w:author="Author" w:date="2020-07-15T05:14:00Z">
                      <w:r w:rsidR="00790D5B">
                        <w:rPr>
                          <w:rFonts w:ascii="Times New Roman" w:eastAsia="Times New Roman" w:hAnsi="Times New Roman" w:cs="Times New Roman"/>
                          <w:color w:val="000000"/>
                        </w:rPr>
                        <w:delText>offiacial</w:delText>
                      </w:r>
                    </w:del>
                  </w:ins>
                  <w:customXmlInsRangeStart w:id="660" w:author="Author" w:date="2020-07-15T05:14:00Z"/>
                </w:sdtContent>
              </w:sdt>
              <w:customXmlInsRangeEnd w:id="660"/>
              <w:ins w:id="661" w:author="Author" w:date="2020-07-15T05:14:00Z">
                <w:r w:rsidR="00790D5B">
                  <w:rPr>
                    <w:rFonts w:ascii="Times New Roman" w:eastAsia="Times New Roman" w:hAnsi="Times New Roman" w:cs="Times New Roman"/>
                    <w:color w:val="000000"/>
                  </w:rPr>
                  <w:t>official websites of MoILHSA and</w:t>
                </w:r>
                <w:r w:rsidR="00790D5B">
                  <w:rPr>
                    <w:rFonts w:ascii="Times New Roman" w:eastAsia="Times New Roman" w:hAnsi="Times New Roman" w:cs="Times New Roman"/>
                    <w:b/>
                    <w:color w:val="000000"/>
                  </w:rPr>
                  <w:t xml:space="preserve"> </w:t>
                </w:r>
                <w:r w:rsidR="00790D5B">
                  <w:rPr>
                    <w:rFonts w:ascii="Times New Roman" w:eastAsia="Times New Roman" w:hAnsi="Times New Roman" w:cs="Times New Roman"/>
                    <w:color w:val="000000"/>
                  </w:rPr>
                  <w:t>entities</w:t>
                </w:r>
                <w:r w:rsidR="00790D5B">
                  <w:rPr>
                    <w:rFonts w:ascii="Times New Roman" w:eastAsia="Times New Roman" w:hAnsi="Times New Roman" w:cs="Times New Roman"/>
                    <w:b/>
                    <w:color w:val="000000"/>
                  </w:rPr>
                  <w:t xml:space="preserve"> </w:t>
                </w:r>
                <w:r w:rsidR="00790D5B">
                  <w:rPr>
                    <w:rFonts w:ascii="Times New Roman" w:eastAsia="Times New Roman" w:hAnsi="Times New Roman" w:cs="Times New Roman"/>
                    <w:color w:val="000000"/>
                  </w:rPr>
                  <w:t>participating in project implementation</w:t>
                </w:r>
                <w:r w:rsidR="00790D5B">
                  <w:rPr>
                    <w:rFonts w:ascii="Times New Roman" w:eastAsia="Times New Roman" w:hAnsi="Times New Roman" w:cs="Times New Roman"/>
                    <w:b/>
                    <w:color w:val="000000"/>
                  </w:rPr>
                  <w:t xml:space="preserve"> </w:t>
                </w:r>
                <w:r w:rsidR="00790D5B">
                  <w:rPr>
                    <w:rFonts w:ascii="Times New Roman" w:eastAsia="Times New Roman" w:hAnsi="Times New Roman" w:cs="Times New Roman"/>
                    <w:color w:val="000000"/>
                  </w:rPr>
                  <w:t xml:space="preserve">and WB. SEP can be periodically updated during project implementation. Regular stakeholder consultations and information disclosure will continue throughout project implementation. </w:t>
                </w:r>
              </w:ins>
            </w:sdtContent>
          </w:sdt>
          <w:sdt>
            <w:sdtPr>
              <w:tag w:val="goog_rdk_390"/>
              <w:id w:val="-698542459"/>
            </w:sdtPr>
            <w:sdtContent/>
          </w:sdt>
        </w:p>
      </w:sdtContent>
    </w:sdt>
    <w:p w14:paraId="00000213" w14:textId="77777777" w:rsidR="009F1887" w:rsidRDefault="00790D5B">
      <w:pPr>
        <w:pStyle w:val="Heading2"/>
        <w:numPr>
          <w:ilvl w:val="0"/>
          <w:numId w:val="66"/>
        </w:numPr>
        <w:spacing w:after="240"/>
        <w:rPr>
          <w:sz w:val="22"/>
          <w:szCs w:val="22"/>
        </w:rPr>
      </w:pPr>
      <w:bookmarkStart w:id="662" w:name="_heading=h.49x2ik5" w:colFirst="0" w:colLast="0"/>
      <w:bookmarkEnd w:id="662"/>
      <w:r>
        <w:rPr>
          <w:sz w:val="22"/>
          <w:szCs w:val="22"/>
        </w:rPr>
        <w:t>Institutional Arrangements, Responsibilities and Capacity Building</w:t>
      </w:r>
    </w:p>
    <w:p w14:paraId="00000214" w14:textId="77777777" w:rsidR="009F1887" w:rsidRDefault="00790D5B">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This section describes the institutional arrangements to implement the ESMF including the screening of subprojects for environmental and social risks and impacts, preparation and consultation in relation to the assessment and identification of mitigation measures for subprojects, review, clearance and disclosure of documentation and instruments, and monitoring the implementation of the ESMP, etc. A clear delineation of responsibilities must be spelled out under this section.</w:t>
      </w:r>
    </w:p>
    <w:p w14:paraId="00000215" w14:textId="77777777" w:rsidR="009F1887" w:rsidRDefault="00790D5B">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For planning and design, and construction stage, an institutional arrangement for the authorities, project proponent, consultants, contractors and supervision engineers should be described. For suggestions in relation to this, see the </w:t>
      </w:r>
      <w:hyperlink r:id="rId25">
        <w:r>
          <w:rPr>
            <w:rFonts w:ascii="Times New Roman" w:eastAsia="Times New Roman" w:hAnsi="Times New Roman" w:cs="Times New Roman"/>
            <w:color w:val="0000FF"/>
            <w:u w:val="single"/>
          </w:rPr>
          <w:t>ESF/Safeguards Interim Note on COVID-19 Considerations in Construction/Civil Works Projects</w:t>
        </w:r>
      </w:hyperlink>
      <w:r>
        <w:rPr>
          <w:rFonts w:ascii="Times New Roman" w:eastAsia="Times New Roman" w:hAnsi="Times New Roman" w:cs="Times New Roman"/>
        </w:rPr>
        <w:t>.</w:t>
      </w:r>
    </w:p>
    <w:p w14:paraId="00000216" w14:textId="77777777" w:rsidR="009F1887" w:rsidRDefault="00790D5B">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For the operational stage, the following aspects should be considered:</w:t>
      </w:r>
    </w:p>
    <w:p w14:paraId="00000217"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roles and responsibilities of different parties in implementing the procedures and mitigation measures that have been adopted to avoid or minimize the spread of COVID-19, (with reference to the section entitled </w:t>
      </w:r>
      <w:r>
        <w:rPr>
          <w:rFonts w:ascii="Times New Roman" w:eastAsia="Times New Roman" w:hAnsi="Times New Roman" w:cs="Times New Roman"/>
          <w:b/>
          <w:i/>
          <w:color w:val="000000"/>
        </w:rPr>
        <w:t>Operational Stage</w:t>
      </w:r>
      <w:r>
        <w:rPr>
          <w:rFonts w:ascii="Times New Roman" w:eastAsia="Times New Roman" w:hAnsi="Times New Roman" w:cs="Times New Roman"/>
          <w:color w:val="000000"/>
        </w:rPr>
        <w:t xml:space="preserve"> above, on a process for ‘cradle-to-grave’ infection control, </w:t>
      </w:r>
      <w:r>
        <w:rPr>
          <w:rFonts w:ascii="Times New Roman" w:eastAsia="Times New Roman" w:hAnsi="Times New Roman" w:cs="Times New Roman"/>
          <w:color w:val="000000"/>
        </w:rPr>
        <w:lastRenderedPageBreak/>
        <w:t>including the person with overall responsibility for infection control and waste management (e.g. the head of the healthcare facility)</w:t>
      </w:r>
    </w:p>
    <w:p w14:paraId="00000218"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whether adequate and qualified staff are in place, including those in charge of infection control and waste management</w:t>
      </w:r>
    </w:p>
    <w:p w14:paraId="00000219"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whether additional staff are required: if so, how many, with what qualifications and training </w:t>
      </w:r>
    </w:p>
    <w:p w14:paraId="0000021A"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how relevant departments in a healthcare facility will work together to create an intra-departmental team to manage, coordinate and regularly review the issues and performance of the facility</w:t>
      </w:r>
    </w:p>
    <w:p w14:paraId="0000021B"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roles and responsibilities for the safe transportation of potentially infected samples to testing facilities</w:t>
      </w:r>
    </w:p>
    <w:p w14:paraId="0000021C"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how the waste streams in the healthcare facilities will be tracked and recorded</w:t>
      </w:r>
    </w:p>
    <w:p w14:paraId="0000021D" w14:textId="77777777" w:rsidR="009F1887" w:rsidRDefault="00790D5B">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capacity building and training should be provided to medical workers, waste management workers and cleaners, as well as third-party waste management service providers. </w:t>
      </w:r>
    </w:p>
    <w:p w14:paraId="0000021E" w14:textId="77777777" w:rsidR="009F1887" w:rsidRDefault="009F1887">
      <w:pPr>
        <w:keepNext/>
        <w:keepLines/>
        <w:pBdr>
          <w:top w:val="nil"/>
          <w:left w:val="nil"/>
          <w:bottom w:val="nil"/>
          <w:right w:val="nil"/>
          <w:between w:val="nil"/>
        </w:pBdr>
        <w:spacing w:after="240" w:line="240" w:lineRule="auto"/>
        <w:ind w:left="720" w:hanging="720"/>
        <w:jc w:val="both"/>
        <w:rPr>
          <w:rFonts w:ascii="Times New Roman" w:eastAsia="Times New Roman" w:hAnsi="Times New Roman" w:cs="Times New Roman"/>
          <w:b/>
          <w:color w:val="000000"/>
        </w:rPr>
      </w:pPr>
    </w:p>
    <w:p w14:paraId="0000021F" w14:textId="77777777" w:rsidR="009F1887" w:rsidRDefault="009F1887">
      <w:pPr>
        <w:keepNext/>
        <w:keepLines/>
        <w:pBdr>
          <w:top w:val="nil"/>
          <w:left w:val="nil"/>
          <w:bottom w:val="nil"/>
          <w:right w:val="nil"/>
          <w:between w:val="nil"/>
        </w:pBdr>
        <w:spacing w:after="240" w:line="240" w:lineRule="auto"/>
        <w:ind w:left="720" w:hanging="720"/>
        <w:jc w:val="both"/>
        <w:rPr>
          <w:rFonts w:ascii="Times New Roman" w:eastAsia="Times New Roman" w:hAnsi="Times New Roman" w:cs="Times New Roman"/>
          <w:b/>
          <w:color w:val="000000"/>
        </w:rPr>
        <w:sectPr w:rsidR="009F1887">
          <w:pgSz w:w="12240" w:h="15840"/>
          <w:pgMar w:top="1440" w:right="1440" w:bottom="1440" w:left="1440" w:header="270" w:footer="720" w:gutter="0"/>
          <w:cols w:space="720" w:equalWidth="0">
            <w:col w:w="9360"/>
          </w:cols>
        </w:sectPr>
      </w:pPr>
    </w:p>
    <w:p w14:paraId="00000220" w14:textId="77777777" w:rsidR="009F1887" w:rsidRDefault="00790D5B">
      <w:pPr>
        <w:pStyle w:val="Heading2"/>
        <w:numPr>
          <w:ilvl w:val="0"/>
          <w:numId w:val="66"/>
        </w:numPr>
        <w:spacing w:before="0" w:after="160"/>
        <w:rPr>
          <w:sz w:val="22"/>
          <w:szCs w:val="22"/>
        </w:rPr>
      </w:pPr>
      <w:bookmarkStart w:id="663" w:name="_heading=h.2p2csry" w:colFirst="0" w:colLast="0"/>
      <w:bookmarkEnd w:id="663"/>
      <w:r>
        <w:rPr>
          <w:sz w:val="22"/>
          <w:szCs w:val="22"/>
        </w:rPr>
        <w:lastRenderedPageBreak/>
        <w:t xml:space="preserve">Annexes </w:t>
      </w:r>
    </w:p>
    <w:p w14:paraId="00000221" w14:textId="77777777" w:rsidR="009F1887" w:rsidRDefault="00790D5B">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Screening Form for Potential Environmental and Social Issues</w:t>
      </w:r>
    </w:p>
    <w:p w14:paraId="00000222" w14:textId="77777777" w:rsidR="009F1887" w:rsidRDefault="00790D5B">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Guidance for E&amp;S Screening and Risk Rating for a COVID-19 response project </w:t>
      </w:r>
    </w:p>
    <w:p w14:paraId="00000223" w14:textId="77777777" w:rsidR="009F1887" w:rsidRDefault="00790D5B">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Environmental and Social Management Plan (ESMP) Template</w:t>
      </w:r>
    </w:p>
    <w:p w14:paraId="00000224" w14:textId="77777777" w:rsidR="009F1887" w:rsidRDefault="00790D5B">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Infection Control and Waste Management Plan (ICWMP) Template</w:t>
      </w:r>
    </w:p>
    <w:p w14:paraId="00000225" w14:textId="77777777" w:rsidR="009F1887" w:rsidRDefault="00790D5B">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Field Environmental and Social Monitoring Checklist</w:t>
      </w:r>
    </w:p>
    <w:p w14:paraId="00000226" w14:textId="77777777" w:rsidR="009F1887" w:rsidRDefault="00790D5B">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Labor Management Procedures</w:t>
      </w:r>
    </w:p>
    <w:p w14:paraId="00000227" w14:textId="77777777" w:rsidR="009F1887" w:rsidRDefault="00790D5B">
      <w:pPr>
        <w:numPr>
          <w:ilvl w:val="0"/>
          <w:numId w:val="10"/>
        </w:num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rPr>
        <w:t>Resource List: COVID-19 Guidance</w:t>
      </w:r>
    </w:p>
    <w:p w14:paraId="00000228" w14:textId="77777777" w:rsidR="009F1887" w:rsidRDefault="009F1887">
      <w:pPr>
        <w:spacing w:after="240" w:line="240" w:lineRule="auto"/>
        <w:jc w:val="both"/>
        <w:rPr>
          <w:rFonts w:ascii="Times New Roman" w:eastAsia="Times New Roman" w:hAnsi="Times New Roman" w:cs="Times New Roman"/>
        </w:rPr>
      </w:pPr>
    </w:p>
    <w:p w14:paraId="00000229" w14:textId="77777777" w:rsidR="009F1887" w:rsidRDefault="009F1887">
      <w:pPr>
        <w:spacing w:after="240" w:line="240" w:lineRule="auto"/>
        <w:jc w:val="both"/>
        <w:rPr>
          <w:rFonts w:ascii="Times New Roman" w:eastAsia="Times New Roman" w:hAnsi="Times New Roman" w:cs="Times New Roman"/>
        </w:rPr>
        <w:sectPr w:rsidR="009F1887">
          <w:pgSz w:w="12240" w:h="15840"/>
          <w:pgMar w:top="1440" w:right="1440" w:bottom="1440" w:left="1440" w:header="270" w:footer="720" w:gutter="0"/>
          <w:cols w:space="720" w:equalWidth="0">
            <w:col w:w="9360"/>
          </w:cols>
        </w:sectPr>
      </w:pPr>
    </w:p>
    <w:bookmarkStart w:id="664" w:name="_heading=h.147n2zr" w:colFirst="0" w:colLast="0"/>
    <w:bookmarkEnd w:id="664"/>
    <w:p w14:paraId="0000022A" w14:textId="77777777" w:rsidR="009F1887" w:rsidRDefault="00EC15FD">
      <w:pPr>
        <w:keepNext/>
        <w:keepLines/>
        <w:pBdr>
          <w:top w:val="nil"/>
          <w:left w:val="nil"/>
          <w:bottom w:val="nil"/>
          <w:right w:val="nil"/>
          <w:between w:val="nil"/>
        </w:pBdr>
        <w:spacing w:after="240" w:line="240" w:lineRule="auto"/>
        <w:ind w:left="-180"/>
        <w:rPr>
          <w:rFonts w:ascii="Times New Roman" w:eastAsia="Times New Roman" w:hAnsi="Times New Roman" w:cs="Times New Roman"/>
          <w:b/>
          <w:color w:val="000000"/>
        </w:rPr>
      </w:pPr>
      <w:sdt>
        <w:sdtPr>
          <w:tag w:val="goog_rdk_393"/>
          <w:id w:val="-178739243"/>
        </w:sdtPr>
        <w:sdtContent>
          <w:ins w:id="665" w:author="Author" w:date="2020-07-15T05:14:00Z">
            <w:r w:rsidR="00790D5B">
              <w:rPr>
                <w:rFonts w:ascii="Times New Roman" w:eastAsia="Times New Roman" w:hAnsi="Times New Roman" w:cs="Times New Roman"/>
                <w:b/>
                <w:color w:val="000000"/>
              </w:rPr>
              <w:t xml:space="preserve">Annex I. </w:t>
            </w:r>
          </w:ins>
        </w:sdtContent>
      </w:sdt>
      <w:r w:rsidR="00790D5B">
        <w:rPr>
          <w:rFonts w:ascii="Times New Roman" w:eastAsia="Times New Roman" w:hAnsi="Times New Roman" w:cs="Times New Roman"/>
          <w:b/>
          <w:color w:val="000000"/>
        </w:rPr>
        <w:t>Screening Form for Potential Environmental and Social Issues</w:t>
      </w:r>
    </w:p>
    <w:p w14:paraId="0000022B" w14:textId="77777777" w:rsidR="009F1887" w:rsidRDefault="00790D5B">
      <w:pPr>
        <w:ind w:right="110"/>
        <w:jc w:val="both"/>
        <w:rPr>
          <w:rFonts w:ascii="Times New Roman" w:eastAsia="Times New Roman" w:hAnsi="Times New Roman" w:cs="Times New Roman"/>
          <w:b/>
          <w:i/>
        </w:rPr>
      </w:pPr>
      <w:r>
        <w:rPr>
          <w:rFonts w:ascii="Times New Roman" w:eastAsia="Times New Roman" w:hAnsi="Times New Roman" w:cs="Times New Roman"/>
        </w:rPr>
        <w:t>This form is to be used by the Project Implementation Unit (PIU) to screen for the potential environmental and social risks and impacts of a proposed subproject. It will help the PIU in identifying the relevant Environmental and Social Standards (ESS), establishing an appropriate E&amp;S risk rating for these subprojects and specifying the type of environmental and social assessment required, including specific instruments/plans. Use of this form will allow the PIU to form an initial view of the potential risks and impacts of a subproject</w:t>
      </w:r>
      <w:r>
        <w:rPr>
          <w:rFonts w:ascii="Times New Roman" w:eastAsia="Times New Roman" w:hAnsi="Times New Roman" w:cs="Times New Roman"/>
          <w:b/>
          <w:i/>
        </w:rPr>
        <w:t>. It is not a substitute for project-specific E&amp;S assessments or specific mitigation plans.</w:t>
      </w:r>
    </w:p>
    <w:p w14:paraId="0000022C" w14:textId="77777777" w:rsidR="009F1887" w:rsidRDefault="00790D5B">
      <w:pPr>
        <w:ind w:right="110"/>
        <w:rPr>
          <w:rFonts w:ascii="Times New Roman" w:eastAsia="Times New Roman" w:hAnsi="Times New Roman" w:cs="Times New Roman"/>
          <w:b/>
        </w:rPr>
      </w:pPr>
      <w:r>
        <w:rPr>
          <w:rFonts w:ascii="Times New Roman" w:eastAsia="Times New Roman" w:hAnsi="Times New Roman" w:cs="Times New Roman"/>
        </w:rPr>
        <w:t xml:space="preserve">A note on </w:t>
      </w:r>
      <w:r>
        <w:rPr>
          <w:rFonts w:ascii="Times New Roman" w:eastAsia="Times New Roman" w:hAnsi="Times New Roman" w:cs="Times New Roman"/>
          <w:i/>
        </w:rPr>
        <w:t>Considerations and Tools for E&amp;S Screening and Risk Rating</w:t>
      </w:r>
      <w:r>
        <w:rPr>
          <w:rFonts w:ascii="Times New Roman" w:eastAsia="Times New Roman" w:hAnsi="Times New Roman" w:cs="Times New Roman"/>
        </w:rPr>
        <w:t xml:space="preserve"> is included in this Annex to assist the process. </w:t>
      </w:r>
    </w:p>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228"/>
      </w:tblGrid>
      <w:tr w:rsidR="009F1887" w14:paraId="776E9385" w14:textId="77777777">
        <w:tc>
          <w:tcPr>
            <w:tcW w:w="2628" w:type="dxa"/>
            <w:shd w:val="clear" w:color="auto" w:fill="D9D9D9"/>
          </w:tcPr>
          <w:p w14:paraId="0000022D" w14:textId="77777777" w:rsidR="009F1887" w:rsidRDefault="00790D5B">
            <w:pPr>
              <w:rPr>
                <w:rFonts w:ascii="Times New Roman" w:eastAsia="Times New Roman" w:hAnsi="Times New Roman" w:cs="Times New Roman"/>
              </w:rPr>
            </w:pPr>
            <w:r>
              <w:rPr>
                <w:rFonts w:ascii="Times New Roman" w:eastAsia="Times New Roman" w:hAnsi="Times New Roman" w:cs="Times New Roman"/>
                <w:color w:val="000000"/>
              </w:rPr>
              <w:t>Subproject Name</w:t>
            </w:r>
          </w:p>
        </w:tc>
        <w:tc>
          <w:tcPr>
            <w:tcW w:w="6228" w:type="dxa"/>
          </w:tcPr>
          <w:p w14:paraId="0000022E" w14:textId="77777777" w:rsidR="009F1887" w:rsidRDefault="009F1887">
            <w:pPr>
              <w:rPr>
                <w:rFonts w:ascii="Times New Roman" w:eastAsia="Times New Roman" w:hAnsi="Times New Roman" w:cs="Times New Roman"/>
              </w:rPr>
            </w:pPr>
          </w:p>
        </w:tc>
      </w:tr>
      <w:tr w:rsidR="009F1887" w14:paraId="681E603B" w14:textId="77777777">
        <w:tc>
          <w:tcPr>
            <w:tcW w:w="2628" w:type="dxa"/>
            <w:shd w:val="clear" w:color="auto" w:fill="D9D9D9"/>
          </w:tcPr>
          <w:p w14:paraId="0000022F"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Subproject Location</w:t>
            </w:r>
          </w:p>
        </w:tc>
        <w:tc>
          <w:tcPr>
            <w:tcW w:w="6228" w:type="dxa"/>
          </w:tcPr>
          <w:p w14:paraId="00000230" w14:textId="77777777" w:rsidR="009F1887" w:rsidRDefault="009F1887">
            <w:pPr>
              <w:rPr>
                <w:rFonts w:ascii="Times New Roman" w:eastAsia="Times New Roman" w:hAnsi="Times New Roman" w:cs="Times New Roman"/>
              </w:rPr>
            </w:pPr>
          </w:p>
        </w:tc>
      </w:tr>
      <w:tr w:rsidR="009F1887" w14:paraId="705EAEA4" w14:textId="77777777">
        <w:tc>
          <w:tcPr>
            <w:tcW w:w="2628" w:type="dxa"/>
            <w:shd w:val="clear" w:color="auto" w:fill="D9D9D9"/>
          </w:tcPr>
          <w:p w14:paraId="00000231"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Subproject Proponent</w:t>
            </w:r>
          </w:p>
        </w:tc>
        <w:tc>
          <w:tcPr>
            <w:tcW w:w="6228" w:type="dxa"/>
          </w:tcPr>
          <w:p w14:paraId="00000232" w14:textId="77777777" w:rsidR="009F1887" w:rsidRDefault="009F1887">
            <w:pPr>
              <w:rPr>
                <w:rFonts w:ascii="Times New Roman" w:eastAsia="Times New Roman" w:hAnsi="Times New Roman" w:cs="Times New Roman"/>
              </w:rPr>
            </w:pPr>
          </w:p>
        </w:tc>
      </w:tr>
      <w:tr w:rsidR="009F1887" w14:paraId="7B5EC967" w14:textId="77777777">
        <w:tc>
          <w:tcPr>
            <w:tcW w:w="2628" w:type="dxa"/>
            <w:shd w:val="clear" w:color="auto" w:fill="D9D9D9"/>
          </w:tcPr>
          <w:p w14:paraId="00000233"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Estimated Investment</w:t>
            </w:r>
          </w:p>
        </w:tc>
        <w:tc>
          <w:tcPr>
            <w:tcW w:w="6228" w:type="dxa"/>
          </w:tcPr>
          <w:p w14:paraId="00000234" w14:textId="77777777" w:rsidR="009F1887" w:rsidRDefault="009F1887">
            <w:pPr>
              <w:rPr>
                <w:rFonts w:ascii="Times New Roman" w:eastAsia="Times New Roman" w:hAnsi="Times New Roman" w:cs="Times New Roman"/>
              </w:rPr>
            </w:pPr>
          </w:p>
        </w:tc>
      </w:tr>
      <w:tr w:rsidR="009F1887" w14:paraId="7E61701F" w14:textId="77777777">
        <w:tc>
          <w:tcPr>
            <w:tcW w:w="2628" w:type="dxa"/>
            <w:shd w:val="clear" w:color="auto" w:fill="D9D9D9"/>
          </w:tcPr>
          <w:p w14:paraId="00000235"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 xml:space="preserve">Start/Completion Date </w:t>
            </w:r>
          </w:p>
        </w:tc>
        <w:tc>
          <w:tcPr>
            <w:tcW w:w="6228" w:type="dxa"/>
          </w:tcPr>
          <w:p w14:paraId="00000236" w14:textId="77777777" w:rsidR="009F1887" w:rsidRDefault="009F1887">
            <w:pPr>
              <w:rPr>
                <w:rFonts w:ascii="Times New Roman" w:eastAsia="Times New Roman" w:hAnsi="Times New Roman" w:cs="Times New Roman"/>
              </w:rPr>
            </w:pPr>
          </w:p>
        </w:tc>
      </w:tr>
    </w:tbl>
    <w:p w14:paraId="00000237" w14:textId="77777777" w:rsidR="009F1887" w:rsidRDefault="009F1887">
      <w:pPr>
        <w:rPr>
          <w:rFonts w:ascii="Times New Roman" w:eastAsia="Times New Roman" w:hAnsi="Times New Roman" w:cs="Times New Roman"/>
        </w:rPr>
      </w:pPr>
    </w:p>
    <w:tbl>
      <w:tblPr>
        <w:tblStyle w:val="a1"/>
        <w:tblW w:w="9782"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170"/>
        <w:gridCol w:w="1170"/>
        <w:gridCol w:w="1170"/>
        <w:gridCol w:w="1170"/>
        <w:gridCol w:w="848"/>
        <w:gridCol w:w="1176"/>
        <w:gridCol w:w="951"/>
      </w:tblGrid>
      <w:tr w:rsidR="009F1887" w14:paraId="7B175144" w14:textId="77777777" w:rsidTr="00483E40">
        <w:trPr>
          <w:trHeight w:val="278"/>
        </w:trPr>
        <w:tc>
          <w:tcPr>
            <w:tcW w:w="2127" w:type="dxa"/>
            <w:vMerge w:val="restart"/>
          </w:tcPr>
          <w:p w14:paraId="00000238" w14:textId="77777777" w:rsidR="009F1887" w:rsidRDefault="00790D5B">
            <w:pPr>
              <w:jc w:val="center"/>
              <w:rPr>
                <w:rFonts w:ascii="Times New Roman" w:eastAsia="Times New Roman" w:hAnsi="Times New Roman" w:cs="Times New Roman"/>
                <w:b/>
              </w:rPr>
            </w:pPr>
            <w:r>
              <w:rPr>
                <w:rFonts w:ascii="Times New Roman" w:eastAsia="Times New Roman" w:hAnsi="Times New Roman" w:cs="Times New Roman"/>
                <w:b/>
              </w:rPr>
              <w:t>Questions</w:t>
            </w:r>
          </w:p>
        </w:tc>
        <w:tc>
          <w:tcPr>
            <w:tcW w:w="3510" w:type="dxa"/>
            <w:gridSpan w:val="3"/>
          </w:tcPr>
          <w:p w14:paraId="00000239" w14:textId="77777777" w:rsidR="009F1887" w:rsidRDefault="00790D5B">
            <w:pPr>
              <w:spacing w:after="60"/>
              <w:jc w:val="center"/>
              <w:rPr>
                <w:rFonts w:ascii="Times New Roman" w:eastAsia="Times New Roman" w:hAnsi="Times New Roman" w:cs="Times New Roman"/>
                <w:b/>
              </w:rPr>
            </w:pPr>
            <w:r>
              <w:rPr>
                <w:rFonts w:ascii="Times New Roman" w:eastAsia="Times New Roman" w:hAnsi="Times New Roman" w:cs="Times New Roman"/>
                <w:b/>
              </w:rPr>
              <w:t>Answer</w:t>
            </w:r>
          </w:p>
        </w:tc>
        <w:tc>
          <w:tcPr>
            <w:tcW w:w="2018" w:type="dxa"/>
            <w:gridSpan w:val="2"/>
            <w:vMerge w:val="restart"/>
          </w:tcPr>
          <w:p w14:paraId="0000023C" w14:textId="77777777" w:rsidR="009F1887" w:rsidRDefault="00790D5B">
            <w:pPr>
              <w:spacing w:after="60"/>
              <w:jc w:val="center"/>
              <w:rPr>
                <w:rFonts w:ascii="Times New Roman" w:eastAsia="Times New Roman" w:hAnsi="Times New Roman" w:cs="Times New Roman"/>
                <w:b/>
              </w:rPr>
            </w:pPr>
            <w:r>
              <w:rPr>
                <w:rFonts w:ascii="Times New Roman" w:eastAsia="Times New Roman" w:hAnsi="Times New Roman" w:cs="Times New Roman"/>
                <w:b/>
              </w:rPr>
              <w:t>ESS relevance</w:t>
            </w:r>
          </w:p>
        </w:tc>
        <w:tc>
          <w:tcPr>
            <w:tcW w:w="2127" w:type="dxa"/>
            <w:gridSpan w:val="2"/>
            <w:vMerge w:val="restart"/>
          </w:tcPr>
          <w:p w14:paraId="0000023E" w14:textId="77777777" w:rsidR="009F1887" w:rsidRDefault="00790D5B">
            <w:pPr>
              <w:jc w:val="center"/>
              <w:rPr>
                <w:rFonts w:ascii="Times New Roman" w:eastAsia="Times New Roman" w:hAnsi="Times New Roman" w:cs="Times New Roman"/>
                <w:b/>
              </w:rPr>
            </w:pPr>
            <w:r>
              <w:rPr>
                <w:rFonts w:ascii="Times New Roman" w:eastAsia="Times New Roman" w:hAnsi="Times New Roman" w:cs="Times New Roman"/>
                <w:b/>
              </w:rPr>
              <w:t>Due diligence / Actions</w:t>
            </w:r>
          </w:p>
        </w:tc>
      </w:tr>
      <w:tr w:rsidR="009F1887" w14:paraId="613CF9C5" w14:textId="77777777" w:rsidTr="00483E40">
        <w:trPr>
          <w:trHeight w:val="277"/>
        </w:trPr>
        <w:tc>
          <w:tcPr>
            <w:tcW w:w="2127" w:type="dxa"/>
            <w:vMerge/>
          </w:tcPr>
          <w:p w14:paraId="00000240" w14:textId="77777777" w:rsidR="009F1887" w:rsidRDefault="009F1887">
            <w:pPr>
              <w:widowControl w:val="0"/>
              <w:pBdr>
                <w:top w:val="nil"/>
                <w:left w:val="nil"/>
                <w:bottom w:val="nil"/>
                <w:right w:val="nil"/>
                <w:between w:val="nil"/>
              </w:pBdr>
              <w:spacing w:after="0"/>
              <w:rPr>
                <w:rFonts w:ascii="Times New Roman" w:eastAsia="Times New Roman" w:hAnsi="Times New Roman" w:cs="Times New Roman"/>
                <w:b/>
              </w:rPr>
            </w:pPr>
          </w:p>
        </w:tc>
        <w:tc>
          <w:tcPr>
            <w:tcW w:w="1170" w:type="dxa"/>
          </w:tcPr>
          <w:p w14:paraId="00000241"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Yes</w:t>
            </w:r>
          </w:p>
        </w:tc>
        <w:tc>
          <w:tcPr>
            <w:tcW w:w="1170" w:type="dxa"/>
          </w:tcPr>
          <w:p w14:paraId="00000242" w14:textId="77777777" w:rsidR="009F1887" w:rsidRDefault="00EC15FD">
            <w:pPr>
              <w:jc w:val="center"/>
              <w:rPr>
                <w:rFonts w:ascii="Times New Roman" w:eastAsia="Times New Roman" w:hAnsi="Times New Roman" w:cs="Times New Roman"/>
              </w:rPr>
            </w:pPr>
            <w:sdt>
              <w:sdtPr>
                <w:tag w:val="goog_rdk_395"/>
                <w:id w:val="-1859495608"/>
              </w:sdtPr>
              <w:sdtContent>
                <w:ins w:id="666" w:author="Author" w:date="2020-07-15T05:14:00Z">
                  <w:r w:rsidR="00790D5B">
                    <w:rPr>
                      <w:rFonts w:ascii="Times New Roman" w:eastAsia="Times New Roman" w:hAnsi="Times New Roman" w:cs="Times New Roman"/>
                    </w:rPr>
                    <w:t>N</w:t>
                  </w:r>
                </w:ins>
              </w:sdtContent>
            </w:sdt>
            <w:sdt>
              <w:sdtPr>
                <w:tag w:val="goog_rdk_396"/>
                <w:id w:val="1713775887"/>
              </w:sdtPr>
              <w:sdtContent>
                <w:del w:id="667" w:author="Author" w:date="2020-07-15T05:14:00Z">
                  <w:r w:rsidR="00790D5B">
                    <w:rPr>
                      <w:rFonts w:ascii="Times New Roman" w:eastAsia="Times New Roman" w:hAnsi="Times New Roman" w:cs="Times New Roman"/>
                    </w:rPr>
                    <w:delText>n</w:delText>
                  </w:r>
                </w:del>
              </w:sdtContent>
            </w:sdt>
            <w:r w:rsidR="00790D5B">
              <w:rPr>
                <w:rFonts w:ascii="Times New Roman" w:eastAsia="Times New Roman" w:hAnsi="Times New Roman" w:cs="Times New Roman"/>
              </w:rPr>
              <w:t>o</w:t>
            </w:r>
          </w:p>
        </w:tc>
        <w:tc>
          <w:tcPr>
            <w:tcW w:w="1170" w:type="dxa"/>
          </w:tcPr>
          <w:sdt>
            <w:sdtPr>
              <w:tag w:val="goog_rdk_398"/>
              <w:id w:val="-1853017585"/>
            </w:sdtPr>
            <w:sdtContent>
              <w:p w14:paraId="00000243" w14:textId="77777777" w:rsidR="009F1887" w:rsidRPr="009F1887" w:rsidRDefault="00790D5B">
                <w:pPr>
                  <w:rPr>
                    <w:rFonts w:ascii="Merriweather" w:eastAsia="Merriweather" w:hAnsi="Merriweather" w:cs="Merriweather"/>
                    <w:rPrChange w:id="668" w:author="Author" w:date="2020-07-15T05:14:00Z">
                      <w:rPr>
                        <w:rFonts w:ascii="Times New Roman" w:eastAsia="Times New Roman" w:hAnsi="Times New Roman" w:cs="Times New Roman"/>
                      </w:rPr>
                    </w:rPrChange>
                  </w:rPr>
                </w:pPr>
                <w:r>
                  <w:rPr>
                    <w:rFonts w:ascii="Merriweather" w:eastAsia="Merriweather" w:hAnsi="Merriweather" w:cs="Merriweather"/>
                  </w:rPr>
                  <w:t>N/A</w:t>
                </w:r>
                <w:sdt>
                  <w:sdtPr>
                    <w:tag w:val="goog_rdk_397"/>
                    <w:id w:val="-330070091"/>
                  </w:sdtPr>
                  <w:sdtContent/>
                </w:sdt>
              </w:p>
            </w:sdtContent>
          </w:sdt>
        </w:tc>
        <w:tc>
          <w:tcPr>
            <w:tcW w:w="2018" w:type="dxa"/>
            <w:gridSpan w:val="2"/>
            <w:vMerge/>
          </w:tcPr>
          <w:p w14:paraId="00000244" w14:textId="77777777" w:rsidR="009F1887" w:rsidRDefault="009F1887">
            <w:pPr>
              <w:widowControl w:val="0"/>
              <w:pBdr>
                <w:top w:val="nil"/>
                <w:left w:val="nil"/>
                <w:bottom w:val="nil"/>
                <w:right w:val="nil"/>
                <w:between w:val="nil"/>
              </w:pBdr>
              <w:spacing w:after="0"/>
              <w:rPr>
                <w:rFonts w:ascii="Times New Roman" w:eastAsia="Times New Roman" w:hAnsi="Times New Roman" w:cs="Times New Roman"/>
              </w:rPr>
            </w:pPr>
          </w:p>
        </w:tc>
        <w:tc>
          <w:tcPr>
            <w:tcW w:w="2127" w:type="dxa"/>
            <w:gridSpan w:val="2"/>
            <w:vMerge/>
          </w:tcPr>
          <w:p w14:paraId="00000246" w14:textId="77777777" w:rsidR="009F1887" w:rsidRDefault="009F1887">
            <w:pPr>
              <w:widowControl w:val="0"/>
              <w:pBdr>
                <w:top w:val="nil"/>
                <w:left w:val="nil"/>
                <w:bottom w:val="nil"/>
                <w:right w:val="nil"/>
                <w:between w:val="nil"/>
              </w:pBdr>
              <w:spacing w:after="0"/>
              <w:rPr>
                <w:rFonts w:ascii="Times New Roman" w:eastAsia="Times New Roman" w:hAnsi="Times New Roman" w:cs="Times New Roman"/>
              </w:rPr>
            </w:pPr>
          </w:p>
        </w:tc>
      </w:tr>
      <w:tr w:rsidR="009F1887" w14:paraId="7B46D7C6" w14:textId="77777777" w:rsidTr="00483E40">
        <w:tc>
          <w:tcPr>
            <w:tcW w:w="2127" w:type="dxa"/>
          </w:tcPr>
          <w:p w14:paraId="00000248"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 xml:space="preserve">Does the subproject involve civil works including new construction, expansion, upgrading or rehabilitation of healthcare facilities and/or waste management facilities? </w:t>
            </w:r>
          </w:p>
        </w:tc>
        <w:tc>
          <w:tcPr>
            <w:tcW w:w="1170" w:type="dxa"/>
          </w:tcPr>
          <w:p w14:paraId="00000249" w14:textId="77777777" w:rsidR="009F1887" w:rsidRDefault="009F1887">
            <w:pPr>
              <w:rPr>
                <w:rFonts w:ascii="Times New Roman" w:eastAsia="Times New Roman" w:hAnsi="Times New Roman" w:cs="Times New Roman"/>
              </w:rPr>
            </w:pPr>
          </w:p>
        </w:tc>
        <w:tc>
          <w:tcPr>
            <w:tcW w:w="1170" w:type="dxa"/>
          </w:tcPr>
          <w:p w14:paraId="0000024A" w14:textId="77777777" w:rsidR="009F1887" w:rsidRDefault="009F1887">
            <w:pPr>
              <w:rPr>
                <w:rFonts w:ascii="Times New Roman" w:eastAsia="Times New Roman" w:hAnsi="Times New Roman" w:cs="Times New Roman"/>
              </w:rPr>
            </w:pPr>
          </w:p>
        </w:tc>
        <w:tc>
          <w:tcPr>
            <w:tcW w:w="1170" w:type="dxa"/>
          </w:tcPr>
          <w:p w14:paraId="0000024B" w14:textId="77777777" w:rsidR="009F1887" w:rsidRDefault="009F1887">
            <w:pPr>
              <w:jc w:val="center"/>
              <w:rPr>
                <w:rFonts w:ascii="Times New Roman" w:eastAsia="Times New Roman" w:hAnsi="Times New Roman" w:cs="Times New Roman"/>
              </w:rPr>
            </w:pPr>
          </w:p>
        </w:tc>
        <w:tc>
          <w:tcPr>
            <w:tcW w:w="2018" w:type="dxa"/>
            <w:gridSpan w:val="2"/>
          </w:tcPr>
          <w:p w14:paraId="0000024C"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ESS1</w:t>
            </w:r>
          </w:p>
        </w:tc>
        <w:tc>
          <w:tcPr>
            <w:tcW w:w="2127" w:type="dxa"/>
            <w:gridSpan w:val="2"/>
          </w:tcPr>
          <w:p w14:paraId="0000024E"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67D0C5A2" w14:textId="77777777" w:rsidTr="00483E40">
        <w:tc>
          <w:tcPr>
            <w:tcW w:w="2127" w:type="dxa"/>
          </w:tcPr>
          <w:p w14:paraId="00000250"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 xml:space="preserve">Does the subproject involve land acquisition and/or restrictions on land use? </w:t>
            </w:r>
          </w:p>
        </w:tc>
        <w:tc>
          <w:tcPr>
            <w:tcW w:w="1170" w:type="dxa"/>
          </w:tcPr>
          <w:p w14:paraId="00000251" w14:textId="77777777" w:rsidR="009F1887" w:rsidRDefault="009F1887">
            <w:pPr>
              <w:rPr>
                <w:rFonts w:ascii="Times New Roman" w:eastAsia="Times New Roman" w:hAnsi="Times New Roman" w:cs="Times New Roman"/>
              </w:rPr>
            </w:pPr>
          </w:p>
        </w:tc>
        <w:tc>
          <w:tcPr>
            <w:tcW w:w="1170" w:type="dxa"/>
          </w:tcPr>
          <w:p w14:paraId="00000252" w14:textId="77777777" w:rsidR="009F1887" w:rsidRDefault="009F1887">
            <w:pPr>
              <w:rPr>
                <w:rFonts w:ascii="Times New Roman" w:eastAsia="Times New Roman" w:hAnsi="Times New Roman" w:cs="Times New Roman"/>
              </w:rPr>
            </w:pPr>
          </w:p>
        </w:tc>
        <w:tc>
          <w:tcPr>
            <w:tcW w:w="1170" w:type="dxa"/>
          </w:tcPr>
          <w:p w14:paraId="00000253" w14:textId="77777777" w:rsidR="009F1887" w:rsidRDefault="009F1887">
            <w:pPr>
              <w:jc w:val="center"/>
              <w:rPr>
                <w:rFonts w:ascii="Times New Roman" w:eastAsia="Times New Roman" w:hAnsi="Times New Roman" w:cs="Times New Roman"/>
              </w:rPr>
            </w:pPr>
          </w:p>
        </w:tc>
        <w:tc>
          <w:tcPr>
            <w:tcW w:w="2018" w:type="dxa"/>
            <w:gridSpan w:val="2"/>
          </w:tcPr>
          <w:p w14:paraId="00000254"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ESS5</w:t>
            </w:r>
          </w:p>
        </w:tc>
        <w:tc>
          <w:tcPr>
            <w:tcW w:w="2127" w:type="dxa"/>
            <w:gridSpan w:val="2"/>
          </w:tcPr>
          <w:p w14:paraId="00000256"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RAP/ARAP, SEP</w:t>
            </w:r>
          </w:p>
        </w:tc>
      </w:tr>
      <w:tr w:rsidR="009F1887" w14:paraId="4F3AB7AF" w14:textId="77777777" w:rsidTr="00483E40">
        <w:tc>
          <w:tcPr>
            <w:tcW w:w="2127" w:type="dxa"/>
          </w:tcPr>
          <w:p w14:paraId="00000258" w14:textId="77777777" w:rsidR="009F1887" w:rsidRDefault="00790D5B">
            <w:pPr>
              <w:rPr>
                <w:rFonts w:ascii="Times New Roman" w:eastAsia="Times New Roman" w:hAnsi="Times New Roman" w:cs="Times New Roman"/>
                <w:highlight w:val="yellow"/>
              </w:rPr>
            </w:pPr>
            <w:r>
              <w:rPr>
                <w:rFonts w:ascii="Times New Roman" w:eastAsia="Times New Roman" w:hAnsi="Times New Roman" w:cs="Times New Roman"/>
              </w:rPr>
              <w:t xml:space="preserve">Does the subproject involve acquisition </w:t>
            </w:r>
            <w:r>
              <w:rPr>
                <w:rFonts w:ascii="Times New Roman" w:eastAsia="Times New Roman" w:hAnsi="Times New Roman" w:cs="Times New Roman"/>
              </w:rPr>
              <w:lastRenderedPageBreak/>
              <w:t>of assets for quarantine, isolation or medical treatment purposes?</w:t>
            </w:r>
          </w:p>
        </w:tc>
        <w:tc>
          <w:tcPr>
            <w:tcW w:w="1170" w:type="dxa"/>
          </w:tcPr>
          <w:p w14:paraId="00000259" w14:textId="77777777" w:rsidR="009F1887" w:rsidRDefault="009F1887">
            <w:pPr>
              <w:rPr>
                <w:rFonts w:ascii="Times New Roman" w:eastAsia="Times New Roman" w:hAnsi="Times New Roman" w:cs="Times New Roman"/>
                <w:highlight w:val="yellow"/>
              </w:rPr>
            </w:pPr>
          </w:p>
        </w:tc>
        <w:tc>
          <w:tcPr>
            <w:tcW w:w="1170" w:type="dxa"/>
          </w:tcPr>
          <w:p w14:paraId="0000025A" w14:textId="77777777" w:rsidR="009F1887" w:rsidRDefault="009F1887">
            <w:pPr>
              <w:rPr>
                <w:rFonts w:ascii="Times New Roman" w:eastAsia="Times New Roman" w:hAnsi="Times New Roman" w:cs="Times New Roman"/>
                <w:highlight w:val="yellow"/>
              </w:rPr>
            </w:pPr>
          </w:p>
        </w:tc>
        <w:tc>
          <w:tcPr>
            <w:tcW w:w="1170" w:type="dxa"/>
          </w:tcPr>
          <w:p w14:paraId="0000025B" w14:textId="77777777" w:rsidR="009F1887" w:rsidRDefault="009F1887">
            <w:pPr>
              <w:jc w:val="center"/>
              <w:rPr>
                <w:rFonts w:ascii="Times New Roman" w:eastAsia="Times New Roman" w:hAnsi="Times New Roman" w:cs="Times New Roman"/>
              </w:rPr>
            </w:pPr>
          </w:p>
        </w:tc>
        <w:tc>
          <w:tcPr>
            <w:tcW w:w="2018" w:type="dxa"/>
            <w:gridSpan w:val="2"/>
          </w:tcPr>
          <w:p w14:paraId="0000025C"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ESS5</w:t>
            </w:r>
          </w:p>
        </w:tc>
        <w:tc>
          <w:tcPr>
            <w:tcW w:w="2127" w:type="dxa"/>
            <w:gridSpan w:val="2"/>
          </w:tcPr>
          <w:p w14:paraId="0000025E" w14:textId="77777777" w:rsidR="009F1887" w:rsidRDefault="009F1887">
            <w:pPr>
              <w:spacing w:before="60"/>
              <w:jc w:val="center"/>
              <w:rPr>
                <w:rFonts w:ascii="Times New Roman" w:eastAsia="Times New Roman" w:hAnsi="Times New Roman" w:cs="Times New Roman"/>
              </w:rPr>
            </w:pPr>
          </w:p>
        </w:tc>
      </w:tr>
      <w:tr w:rsidR="009F1887" w14:paraId="1AA59AA1" w14:textId="77777777" w:rsidTr="00483E40">
        <w:tc>
          <w:tcPr>
            <w:tcW w:w="2127" w:type="dxa"/>
          </w:tcPr>
          <w:p w14:paraId="00000260"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Is the subproject associated with any external waste management facilities such as a sanitary landfill, incinerator, or wastewater treatment plant for healthcare waste disposal?</w:t>
            </w:r>
          </w:p>
        </w:tc>
        <w:tc>
          <w:tcPr>
            <w:tcW w:w="1170" w:type="dxa"/>
          </w:tcPr>
          <w:p w14:paraId="00000261" w14:textId="77777777" w:rsidR="009F1887" w:rsidRDefault="009F1887">
            <w:pPr>
              <w:rPr>
                <w:rFonts w:ascii="Times New Roman" w:eastAsia="Times New Roman" w:hAnsi="Times New Roman" w:cs="Times New Roman"/>
              </w:rPr>
            </w:pPr>
          </w:p>
        </w:tc>
        <w:tc>
          <w:tcPr>
            <w:tcW w:w="1170" w:type="dxa"/>
          </w:tcPr>
          <w:p w14:paraId="00000262" w14:textId="77777777" w:rsidR="009F1887" w:rsidRDefault="009F1887">
            <w:pPr>
              <w:rPr>
                <w:rFonts w:ascii="Times New Roman" w:eastAsia="Times New Roman" w:hAnsi="Times New Roman" w:cs="Times New Roman"/>
              </w:rPr>
            </w:pPr>
          </w:p>
        </w:tc>
        <w:tc>
          <w:tcPr>
            <w:tcW w:w="1170" w:type="dxa"/>
          </w:tcPr>
          <w:p w14:paraId="00000263" w14:textId="77777777" w:rsidR="009F1887" w:rsidRDefault="009F1887">
            <w:pPr>
              <w:jc w:val="center"/>
              <w:rPr>
                <w:rFonts w:ascii="Times New Roman" w:eastAsia="Times New Roman" w:hAnsi="Times New Roman" w:cs="Times New Roman"/>
              </w:rPr>
            </w:pPr>
          </w:p>
        </w:tc>
        <w:tc>
          <w:tcPr>
            <w:tcW w:w="2018" w:type="dxa"/>
            <w:gridSpan w:val="2"/>
          </w:tcPr>
          <w:p w14:paraId="00000264"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ESS3</w:t>
            </w:r>
          </w:p>
        </w:tc>
        <w:tc>
          <w:tcPr>
            <w:tcW w:w="2127" w:type="dxa"/>
            <w:gridSpan w:val="2"/>
          </w:tcPr>
          <w:p w14:paraId="00000266"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5E29D519" w14:textId="77777777" w:rsidTr="00483E40">
        <w:tc>
          <w:tcPr>
            <w:tcW w:w="2127" w:type="dxa"/>
          </w:tcPr>
          <w:p w14:paraId="00000268"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Is there a sound regulatory framework and institutional capacity in place for healthcare facility infection control and healthcare waste management?</w:t>
            </w:r>
          </w:p>
        </w:tc>
        <w:tc>
          <w:tcPr>
            <w:tcW w:w="1170" w:type="dxa"/>
          </w:tcPr>
          <w:p w14:paraId="00000269" w14:textId="77777777" w:rsidR="009F1887" w:rsidRDefault="009F1887">
            <w:pPr>
              <w:rPr>
                <w:rFonts w:ascii="Times New Roman" w:eastAsia="Times New Roman" w:hAnsi="Times New Roman" w:cs="Times New Roman"/>
              </w:rPr>
            </w:pPr>
          </w:p>
        </w:tc>
        <w:tc>
          <w:tcPr>
            <w:tcW w:w="1170" w:type="dxa"/>
          </w:tcPr>
          <w:p w14:paraId="0000026A" w14:textId="77777777" w:rsidR="009F1887" w:rsidRDefault="009F1887">
            <w:pPr>
              <w:rPr>
                <w:rFonts w:ascii="Times New Roman" w:eastAsia="Times New Roman" w:hAnsi="Times New Roman" w:cs="Times New Roman"/>
              </w:rPr>
            </w:pPr>
          </w:p>
        </w:tc>
        <w:tc>
          <w:tcPr>
            <w:tcW w:w="1170" w:type="dxa"/>
          </w:tcPr>
          <w:p w14:paraId="0000026B" w14:textId="77777777" w:rsidR="009F1887" w:rsidRDefault="009F1887">
            <w:pPr>
              <w:jc w:val="center"/>
              <w:rPr>
                <w:rFonts w:ascii="Times New Roman" w:eastAsia="Times New Roman" w:hAnsi="Times New Roman" w:cs="Times New Roman"/>
              </w:rPr>
            </w:pPr>
          </w:p>
        </w:tc>
        <w:tc>
          <w:tcPr>
            <w:tcW w:w="2018" w:type="dxa"/>
            <w:gridSpan w:val="2"/>
          </w:tcPr>
          <w:p w14:paraId="0000026C"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ESS1</w:t>
            </w:r>
          </w:p>
        </w:tc>
        <w:tc>
          <w:tcPr>
            <w:tcW w:w="2127" w:type="dxa"/>
            <w:gridSpan w:val="2"/>
          </w:tcPr>
          <w:p w14:paraId="0000026E"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05E10C48" w14:textId="77777777" w:rsidTr="00483E40">
        <w:tc>
          <w:tcPr>
            <w:tcW w:w="2127" w:type="dxa"/>
          </w:tcPr>
          <w:p w14:paraId="00000270"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Does the subproject have an adequate system in place (capacity, processes and management) to address waste?</w:t>
            </w:r>
          </w:p>
        </w:tc>
        <w:tc>
          <w:tcPr>
            <w:tcW w:w="1170" w:type="dxa"/>
          </w:tcPr>
          <w:p w14:paraId="00000271" w14:textId="77777777" w:rsidR="009F1887" w:rsidRDefault="009F1887">
            <w:pPr>
              <w:rPr>
                <w:rFonts w:ascii="Times New Roman" w:eastAsia="Times New Roman" w:hAnsi="Times New Roman" w:cs="Times New Roman"/>
              </w:rPr>
            </w:pPr>
          </w:p>
        </w:tc>
        <w:tc>
          <w:tcPr>
            <w:tcW w:w="1170" w:type="dxa"/>
          </w:tcPr>
          <w:p w14:paraId="00000272" w14:textId="77777777" w:rsidR="009F1887" w:rsidRDefault="009F1887">
            <w:pPr>
              <w:rPr>
                <w:rFonts w:ascii="Times New Roman" w:eastAsia="Times New Roman" w:hAnsi="Times New Roman" w:cs="Times New Roman"/>
              </w:rPr>
            </w:pPr>
          </w:p>
        </w:tc>
        <w:tc>
          <w:tcPr>
            <w:tcW w:w="1170" w:type="dxa"/>
          </w:tcPr>
          <w:p w14:paraId="00000273" w14:textId="77777777" w:rsidR="009F1887" w:rsidRDefault="009F1887">
            <w:pPr>
              <w:jc w:val="center"/>
              <w:rPr>
                <w:rFonts w:ascii="Times New Roman" w:eastAsia="Times New Roman" w:hAnsi="Times New Roman" w:cs="Times New Roman"/>
              </w:rPr>
            </w:pPr>
          </w:p>
        </w:tc>
        <w:tc>
          <w:tcPr>
            <w:tcW w:w="2018" w:type="dxa"/>
            <w:gridSpan w:val="2"/>
          </w:tcPr>
          <w:p w14:paraId="00000274" w14:textId="77777777" w:rsidR="009F1887" w:rsidRDefault="009F1887">
            <w:pPr>
              <w:jc w:val="center"/>
              <w:rPr>
                <w:rFonts w:ascii="Times New Roman" w:eastAsia="Times New Roman" w:hAnsi="Times New Roman" w:cs="Times New Roman"/>
              </w:rPr>
            </w:pPr>
          </w:p>
        </w:tc>
        <w:tc>
          <w:tcPr>
            <w:tcW w:w="2127" w:type="dxa"/>
            <w:gridSpan w:val="2"/>
          </w:tcPr>
          <w:p w14:paraId="00000276" w14:textId="77777777" w:rsidR="009F1887" w:rsidRDefault="009F1887">
            <w:pPr>
              <w:spacing w:before="60"/>
              <w:jc w:val="center"/>
              <w:rPr>
                <w:rFonts w:ascii="Times New Roman" w:eastAsia="Times New Roman" w:hAnsi="Times New Roman" w:cs="Times New Roman"/>
              </w:rPr>
            </w:pPr>
          </w:p>
        </w:tc>
      </w:tr>
      <w:tr w:rsidR="009F1887" w14:paraId="25A0E4B9" w14:textId="77777777" w:rsidTr="00483E40">
        <w:tc>
          <w:tcPr>
            <w:tcW w:w="2127" w:type="dxa"/>
          </w:tcPr>
          <w:p w14:paraId="00000278"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Does the subproject involve recruitment of workers including direct, contracted, primary supply, and/or community workers?</w:t>
            </w:r>
          </w:p>
        </w:tc>
        <w:tc>
          <w:tcPr>
            <w:tcW w:w="1170" w:type="dxa"/>
          </w:tcPr>
          <w:p w14:paraId="00000279" w14:textId="77777777" w:rsidR="009F1887" w:rsidRDefault="009F1887">
            <w:pPr>
              <w:rPr>
                <w:rFonts w:ascii="Times New Roman" w:eastAsia="Times New Roman" w:hAnsi="Times New Roman" w:cs="Times New Roman"/>
              </w:rPr>
            </w:pPr>
          </w:p>
        </w:tc>
        <w:tc>
          <w:tcPr>
            <w:tcW w:w="1170" w:type="dxa"/>
          </w:tcPr>
          <w:p w14:paraId="0000027A" w14:textId="77777777" w:rsidR="009F1887" w:rsidRDefault="009F1887">
            <w:pPr>
              <w:rPr>
                <w:rFonts w:ascii="Times New Roman" w:eastAsia="Times New Roman" w:hAnsi="Times New Roman" w:cs="Times New Roman"/>
              </w:rPr>
            </w:pPr>
          </w:p>
        </w:tc>
        <w:tc>
          <w:tcPr>
            <w:tcW w:w="1170" w:type="dxa"/>
          </w:tcPr>
          <w:p w14:paraId="0000027B" w14:textId="77777777" w:rsidR="009F1887" w:rsidRDefault="009F1887">
            <w:pPr>
              <w:jc w:val="center"/>
              <w:rPr>
                <w:rFonts w:ascii="Times New Roman" w:eastAsia="Times New Roman" w:hAnsi="Times New Roman" w:cs="Times New Roman"/>
              </w:rPr>
            </w:pPr>
          </w:p>
        </w:tc>
        <w:tc>
          <w:tcPr>
            <w:tcW w:w="2018" w:type="dxa"/>
            <w:gridSpan w:val="2"/>
          </w:tcPr>
          <w:p w14:paraId="0000027C"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ESS2</w:t>
            </w:r>
          </w:p>
        </w:tc>
        <w:tc>
          <w:tcPr>
            <w:tcW w:w="2127" w:type="dxa"/>
            <w:gridSpan w:val="2"/>
          </w:tcPr>
          <w:p w14:paraId="0000027E"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LMP, SEP</w:t>
            </w:r>
          </w:p>
        </w:tc>
      </w:tr>
      <w:tr w:rsidR="009F1887" w14:paraId="28735A63" w14:textId="77777777" w:rsidTr="00483E40">
        <w:tc>
          <w:tcPr>
            <w:tcW w:w="2127" w:type="dxa"/>
          </w:tcPr>
          <w:p w14:paraId="00000280"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 xml:space="preserve">Does the subproject have appropriate OHS procedures in place, and an </w:t>
            </w:r>
            <w:r>
              <w:rPr>
                <w:rFonts w:ascii="Times New Roman" w:eastAsia="Times New Roman" w:hAnsi="Times New Roman" w:cs="Times New Roman"/>
              </w:rPr>
              <w:lastRenderedPageBreak/>
              <w:t>adequate supply of PPE (where necessary)?</w:t>
            </w:r>
          </w:p>
        </w:tc>
        <w:tc>
          <w:tcPr>
            <w:tcW w:w="1170" w:type="dxa"/>
          </w:tcPr>
          <w:p w14:paraId="00000281" w14:textId="77777777" w:rsidR="009F1887" w:rsidRDefault="009F1887">
            <w:pPr>
              <w:rPr>
                <w:rFonts w:ascii="Times New Roman" w:eastAsia="Times New Roman" w:hAnsi="Times New Roman" w:cs="Times New Roman"/>
              </w:rPr>
            </w:pPr>
          </w:p>
        </w:tc>
        <w:tc>
          <w:tcPr>
            <w:tcW w:w="1170" w:type="dxa"/>
          </w:tcPr>
          <w:p w14:paraId="00000282" w14:textId="77777777" w:rsidR="009F1887" w:rsidRDefault="009F1887">
            <w:pPr>
              <w:rPr>
                <w:rFonts w:ascii="Times New Roman" w:eastAsia="Times New Roman" w:hAnsi="Times New Roman" w:cs="Times New Roman"/>
              </w:rPr>
            </w:pPr>
          </w:p>
        </w:tc>
        <w:tc>
          <w:tcPr>
            <w:tcW w:w="1170" w:type="dxa"/>
          </w:tcPr>
          <w:p w14:paraId="00000283" w14:textId="77777777" w:rsidR="009F1887" w:rsidRDefault="009F1887">
            <w:pPr>
              <w:jc w:val="center"/>
              <w:rPr>
                <w:rFonts w:ascii="Times New Roman" w:eastAsia="Times New Roman" w:hAnsi="Times New Roman" w:cs="Times New Roman"/>
              </w:rPr>
            </w:pPr>
          </w:p>
        </w:tc>
        <w:tc>
          <w:tcPr>
            <w:tcW w:w="2018" w:type="dxa"/>
            <w:gridSpan w:val="2"/>
          </w:tcPr>
          <w:p w14:paraId="00000284" w14:textId="77777777" w:rsidR="009F1887" w:rsidRDefault="009F1887">
            <w:pPr>
              <w:jc w:val="center"/>
              <w:rPr>
                <w:rFonts w:ascii="Times New Roman" w:eastAsia="Times New Roman" w:hAnsi="Times New Roman" w:cs="Times New Roman"/>
              </w:rPr>
            </w:pPr>
          </w:p>
        </w:tc>
        <w:tc>
          <w:tcPr>
            <w:tcW w:w="2127" w:type="dxa"/>
            <w:gridSpan w:val="2"/>
          </w:tcPr>
          <w:p w14:paraId="00000286" w14:textId="77777777" w:rsidR="009F1887" w:rsidRDefault="009F1887">
            <w:pPr>
              <w:spacing w:before="60"/>
              <w:jc w:val="center"/>
              <w:rPr>
                <w:rFonts w:ascii="Times New Roman" w:eastAsia="Times New Roman" w:hAnsi="Times New Roman" w:cs="Times New Roman"/>
              </w:rPr>
            </w:pPr>
          </w:p>
        </w:tc>
      </w:tr>
      <w:tr w:rsidR="009F1887" w14:paraId="6C5F3EE3" w14:textId="77777777" w:rsidTr="00483E40">
        <w:tc>
          <w:tcPr>
            <w:tcW w:w="2127" w:type="dxa"/>
          </w:tcPr>
          <w:p w14:paraId="00000288" w14:textId="77777777" w:rsidR="009F1887" w:rsidRDefault="00790D5B">
            <w:pPr>
              <w:spacing w:before="240"/>
              <w:rPr>
                <w:rFonts w:ascii="Times New Roman" w:eastAsia="Times New Roman" w:hAnsi="Times New Roman" w:cs="Times New Roman"/>
              </w:rPr>
            </w:pPr>
            <w:r>
              <w:rPr>
                <w:rFonts w:ascii="Times New Roman" w:eastAsia="Times New Roman" w:hAnsi="Times New Roman" w:cs="Times New Roman"/>
              </w:rPr>
              <w:t>Does the subproject have a GRM in place, to which all workers have access, designed to respond quickly and effectively?</w:t>
            </w:r>
          </w:p>
        </w:tc>
        <w:tc>
          <w:tcPr>
            <w:tcW w:w="1170" w:type="dxa"/>
          </w:tcPr>
          <w:p w14:paraId="00000289" w14:textId="77777777" w:rsidR="009F1887" w:rsidRDefault="009F1887">
            <w:pPr>
              <w:rPr>
                <w:rFonts w:ascii="Times New Roman" w:eastAsia="Times New Roman" w:hAnsi="Times New Roman" w:cs="Times New Roman"/>
              </w:rPr>
            </w:pPr>
          </w:p>
        </w:tc>
        <w:tc>
          <w:tcPr>
            <w:tcW w:w="1170" w:type="dxa"/>
          </w:tcPr>
          <w:p w14:paraId="0000028A" w14:textId="77777777" w:rsidR="009F1887" w:rsidRDefault="009F1887">
            <w:pPr>
              <w:rPr>
                <w:rFonts w:ascii="Times New Roman" w:eastAsia="Times New Roman" w:hAnsi="Times New Roman" w:cs="Times New Roman"/>
              </w:rPr>
            </w:pPr>
          </w:p>
        </w:tc>
        <w:tc>
          <w:tcPr>
            <w:tcW w:w="1170" w:type="dxa"/>
          </w:tcPr>
          <w:p w14:paraId="0000028B" w14:textId="77777777" w:rsidR="009F1887" w:rsidRDefault="009F1887">
            <w:pPr>
              <w:jc w:val="center"/>
              <w:rPr>
                <w:rFonts w:ascii="Times New Roman" w:eastAsia="Times New Roman" w:hAnsi="Times New Roman" w:cs="Times New Roman"/>
              </w:rPr>
            </w:pPr>
          </w:p>
        </w:tc>
        <w:tc>
          <w:tcPr>
            <w:tcW w:w="2018" w:type="dxa"/>
            <w:gridSpan w:val="2"/>
          </w:tcPr>
          <w:p w14:paraId="0000028C" w14:textId="77777777" w:rsidR="009F1887" w:rsidRDefault="009F1887">
            <w:pPr>
              <w:jc w:val="center"/>
              <w:rPr>
                <w:rFonts w:ascii="Times New Roman" w:eastAsia="Times New Roman" w:hAnsi="Times New Roman" w:cs="Times New Roman"/>
              </w:rPr>
            </w:pPr>
          </w:p>
        </w:tc>
        <w:tc>
          <w:tcPr>
            <w:tcW w:w="2127" w:type="dxa"/>
            <w:gridSpan w:val="2"/>
          </w:tcPr>
          <w:p w14:paraId="0000028E" w14:textId="77777777" w:rsidR="009F1887" w:rsidRDefault="009F1887">
            <w:pPr>
              <w:spacing w:before="60"/>
              <w:jc w:val="center"/>
              <w:rPr>
                <w:rFonts w:ascii="Times New Roman" w:eastAsia="Times New Roman" w:hAnsi="Times New Roman" w:cs="Times New Roman"/>
              </w:rPr>
            </w:pPr>
          </w:p>
        </w:tc>
      </w:tr>
      <w:tr w:rsidR="009F1887" w14:paraId="1CFC69C7" w14:textId="77777777" w:rsidTr="00483E40">
        <w:tc>
          <w:tcPr>
            <w:tcW w:w="2127" w:type="dxa"/>
          </w:tcPr>
          <w:p w14:paraId="00000290" w14:textId="77777777" w:rsidR="009F1887" w:rsidRDefault="00790D5B">
            <w:pPr>
              <w:spacing w:before="240"/>
              <w:rPr>
                <w:rFonts w:ascii="Times New Roman" w:eastAsia="Times New Roman" w:hAnsi="Times New Roman" w:cs="Times New Roman"/>
              </w:rPr>
            </w:pPr>
            <w:r>
              <w:rPr>
                <w:rFonts w:ascii="Times New Roman" w:eastAsia="Times New Roman" w:hAnsi="Times New Roman" w:cs="Times New Roman"/>
              </w:rPr>
              <w:t>Does the subproject involve transboundary transportation (including Potentially infected specimens may be transported from healthcare facilities to testing laboratories, and transboundary) of specimen, samples, infectious and hazardous materials?</w:t>
            </w:r>
          </w:p>
        </w:tc>
        <w:tc>
          <w:tcPr>
            <w:tcW w:w="1170" w:type="dxa"/>
          </w:tcPr>
          <w:p w14:paraId="00000291" w14:textId="77777777" w:rsidR="009F1887" w:rsidRDefault="009F1887">
            <w:pPr>
              <w:rPr>
                <w:rFonts w:ascii="Times New Roman" w:eastAsia="Times New Roman" w:hAnsi="Times New Roman" w:cs="Times New Roman"/>
              </w:rPr>
            </w:pPr>
          </w:p>
        </w:tc>
        <w:tc>
          <w:tcPr>
            <w:tcW w:w="1170" w:type="dxa"/>
          </w:tcPr>
          <w:p w14:paraId="00000292" w14:textId="77777777" w:rsidR="009F1887" w:rsidRDefault="009F1887">
            <w:pPr>
              <w:rPr>
                <w:rFonts w:ascii="Times New Roman" w:eastAsia="Times New Roman" w:hAnsi="Times New Roman" w:cs="Times New Roman"/>
              </w:rPr>
            </w:pPr>
          </w:p>
        </w:tc>
        <w:tc>
          <w:tcPr>
            <w:tcW w:w="1170" w:type="dxa"/>
          </w:tcPr>
          <w:p w14:paraId="00000293" w14:textId="77777777" w:rsidR="009F1887" w:rsidRDefault="009F1887">
            <w:pPr>
              <w:jc w:val="center"/>
              <w:rPr>
                <w:rFonts w:ascii="Times New Roman" w:eastAsia="Times New Roman" w:hAnsi="Times New Roman" w:cs="Times New Roman"/>
              </w:rPr>
            </w:pPr>
          </w:p>
        </w:tc>
        <w:tc>
          <w:tcPr>
            <w:tcW w:w="2018" w:type="dxa"/>
            <w:gridSpan w:val="2"/>
          </w:tcPr>
          <w:p w14:paraId="00000294"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ESS3</w:t>
            </w:r>
          </w:p>
        </w:tc>
        <w:tc>
          <w:tcPr>
            <w:tcW w:w="2127" w:type="dxa"/>
            <w:gridSpan w:val="2"/>
          </w:tcPr>
          <w:p w14:paraId="00000296"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1A72AC92" w14:textId="77777777" w:rsidTr="00483E40">
        <w:tc>
          <w:tcPr>
            <w:tcW w:w="2127" w:type="dxa"/>
          </w:tcPr>
          <w:p w14:paraId="00000298"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Does the subproject involve use of security or military personnel during construction and/or operation of healthcare facilities and related activities?</w:t>
            </w:r>
          </w:p>
        </w:tc>
        <w:tc>
          <w:tcPr>
            <w:tcW w:w="1170" w:type="dxa"/>
          </w:tcPr>
          <w:p w14:paraId="00000299" w14:textId="77777777" w:rsidR="009F1887" w:rsidRDefault="009F1887">
            <w:pPr>
              <w:rPr>
                <w:rFonts w:ascii="Times New Roman" w:eastAsia="Times New Roman" w:hAnsi="Times New Roman" w:cs="Times New Roman"/>
              </w:rPr>
            </w:pPr>
          </w:p>
        </w:tc>
        <w:tc>
          <w:tcPr>
            <w:tcW w:w="1170" w:type="dxa"/>
          </w:tcPr>
          <w:p w14:paraId="0000029A" w14:textId="77777777" w:rsidR="009F1887" w:rsidRDefault="009F1887">
            <w:pPr>
              <w:rPr>
                <w:rFonts w:ascii="Times New Roman" w:eastAsia="Times New Roman" w:hAnsi="Times New Roman" w:cs="Times New Roman"/>
              </w:rPr>
            </w:pPr>
          </w:p>
        </w:tc>
        <w:tc>
          <w:tcPr>
            <w:tcW w:w="1170" w:type="dxa"/>
          </w:tcPr>
          <w:p w14:paraId="0000029B" w14:textId="77777777" w:rsidR="009F1887" w:rsidRDefault="009F1887">
            <w:pPr>
              <w:jc w:val="center"/>
              <w:rPr>
                <w:rFonts w:ascii="Times New Roman" w:eastAsia="Times New Roman" w:hAnsi="Times New Roman" w:cs="Times New Roman"/>
              </w:rPr>
            </w:pPr>
          </w:p>
        </w:tc>
        <w:tc>
          <w:tcPr>
            <w:tcW w:w="2018" w:type="dxa"/>
            <w:gridSpan w:val="2"/>
          </w:tcPr>
          <w:p w14:paraId="0000029C"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ESS4</w:t>
            </w:r>
          </w:p>
        </w:tc>
        <w:tc>
          <w:tcPr>
            <w:tcW w:w="2127" w:type="dxa"/>
            <w:gridSpan w:val="2"/>
          </w:tcPr>
          <w:p w14:paraId="0000029E"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3C531623" w14:textId="77777777" w:rsidTr="00483E40">
        <w:tc>
          <w:tcPr>
            <w:tcW w:w="2127" w:type="dxa"/>
          </w:tcPr>
          <w:p w14:paraId="000002A0"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Is the subproject located within or in the vicinity of any ecologically sensitive areas?</w:t>
            </w:r>
          </w:p>
        </w:tc>
        <w:tc>
          <w:tcPr>
            <w:tcW w:w="1170" w:type="dxa"/>
          </w:tcPr>
          <w:p w14:paraId="000002A1" w14:textId="77777777" w:rsidR="009F1887" w:rsidRDefault="009F1887">
            <w:pPr>
              <w:rPr>
                <w:rFonts w:ascii="Times New Roman" w:eastAsia="Times New Roman" w:hAnsi="Times New Roman" w:cs="Times New Roman"/>
              </w:rPr>
            </w:pPr>
          </w:p>
        </w:tc>
        <w:tc>
          <w:tcPr>
            <w:tcW w:w="1170" w:type="dxa"/>
          </w:tcPr>
          <w:p w14:paraId="000002A2" w14:textId="77777777" w:rsidR="009F1887" w:rsidRDefault="009F1887">
            <w:pPr>
              <w:rPr>
                <w:rFonts w:ascii="Times New Roman" w:eastAsia="Times New Roman" w:hAnsi="Times New Roman" w:cs="Times New Roman"/>
              </w:rPr>
            </w:pPr>
          </w:p>
        </w:tc>
        <w:tc>
          <w:tcPr>
            <w:tcW w:w="1170" w:type="dxa"/>
          </w:tcPr>
          <w:p w14:paraId="000002A3" w14:textId="77777777" w:rsidR="009F1887" w:rsidRDefault="009F1887">
            <w:pPr>
              <w:jc w:val="center"/>
              <w:rPr>
                <w:rFonts w:ascii="Times New Roman" w:eastAsia="Times New Roman" w:hAnsi="Times New Roman" w:cs="Times New Roman"/>
              </w:rPr>
            </w:pPr>
          </w:p>
        </w:tc>
        <w:tc>
          <w:tcPr>
            <w:tcW w:w="2018" w:type="dxa"/>
            <w:gridSpan w:val="2"/>
          </w:tcPr>
          <w:p w14:paraId="000002A4"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ESS6</w:t>
            </w:r>
          </w:p>
        </w:tc>
        <w:tc>
          <w:tcPr>
            <w:tcW w:w="2127" w:type="dxa"/>
            <w:gridSpan w:val="2"/>
          </w:tcPr>
          <w:p w14:paraId="000002A6"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sdt>
        <w:sdtPr>
          <w:tag w:val="goog_rdk_400"/>
          <w:id w:val="-1841294732"/>
        </w:sdtPr>
        <w:sdtContent>
          <w:tr w:rsidR="009F1887" w14:paraId="177A47CA" w14:textId="77777777" w:rsidTr="00483E40">
            <w:trPr>
              <w:gridAfter w:val="1"/>
              <w:wAfter w:w="951" w:type="dxa"/>
              <w:del w:id="669" w:author="Author" w:date="2020-07-15T05:14:00Z"/>
            </w:trPr>
            <w:tc>
              <w:tcPr>
                <w:tcW w:w="2127" w:type="dxa"/>
              </w:tcPr>
              <w:sdt>
                <w:sdtPr>
                  <w:tag w:val="goog_rdk_402"/>
                  <w:id w:val="1505156817"/>
                </w:sdtPr>
                <w:sdtContent>
                  <w:p w14:paraId="000002A8" w14:textId="77777777" w:rsidR="009F1887" w:rsidRDefault="00EC15FD">
                    <w:pPr>
                      <w:rPr>
                        <w:del w:id="670" w:author="Author" w:date="2020-07-15T05:14:00Z"/>
                        <w:rFonts w:ascii="Times New Roman" w:eastAsia="Times New Roman" w:hAnsi="Times New Roman" w:cs="Times New Roman"/>
                      </w:rPr>
                    </w:pPr>
                    <w:sdt>
                      <w:sdtPr>
                        <w:tag w:val="goog_rdk_401"/>
                        <w:id w:val="-1257670987"/>
                      </w:sdtPr>
                      <w:sdtContent/>
                    </w:sdt>
                  </w:p>
                </w:sdtContent>
              </w:sdt>
            </w:tc>
            <w:tc>
              <w:tcPr>
                <w:tcW w:w="1170" w:type="dxa"/>
              </w:tcPr>
              <w:sdt>
                <w:sdtPr>
                  <w:tag w:val="goog_rdk_404"/>
                  <w:id w:val="-1528398030"/>
                </w:sdtPr>
                <w:sdtContent>
                  <w:p w14:paraId="000002A9" w14:textId="77777777" w:rsidR="009F1887" w:rsidRDefault="00EC15FD">
                    <w:pPr>
                      <w:rPr>
                        <w:del w:id="671" w:author="Author" w:date="2020-07-15T05:14:00Z"/>
                        <w:rFonts w:ascii="Times New Roman" w:eastAsia="Times New Roman" w:hAnsi="Times New Roman" w:cs="Times New Roman"/>
                      </w:rPr>
                    </w:pPr>
                    <w:sdt>
                      <w:sdtPr>
                        <w:tag w:val="goog_rdk_403"/>
                        <w:id w:val="1411498501"/>
                      </w:sdtPr>
                      <w:sdtContent/>
                    </w:sdt>
                  </w:p>
                </w:sdtContent>
              </w:sdt>
            </w:tc>
            <w:tc>
              <w:tcPr>
                <w:tcW w:w="1170" w:type="dxa"/>
              </w:tcPr>
              <w:sdt>
                <w:sdtPr>
                  <w:tag w:val="goog_rdk_406"/>
                  <w:id w:val="-2088064807"/>
                </w:sdtPr>
                <w:sdtContent>
                  <w:p w14:paraId="000002AA" w14:textId="77777777" w:rsidR="009F1887" w:rsidRDefault="00EC15FD">
                    <w:pPr>
                      <w:rPr>
                        <w:del w:id="672" w:author="Author" w:date="2020-07-15T05:14:00Z"/>
                        <w:rFonts w:ascii="Times New Roman" w:eastAsia="Times New Roman" w:hAnsi="Times New Roman" w:cs="Times New Roman"/>
                      </w:rPr>
                    </w:pPr>
                    <w:sdt>
                      <w:sdtPr>
                        <w:tag w:val="goog_rdk_405"/>
                        <w:id w:val="-340705060"/>
                      </w:sdtPr>
                      <w:sdtContent/>
                    </w:sdt>
                  </w:p>
                </w:sdtContent>
              </w:sdt>
            </w:tc>
            <w:tc>
              <w:tcPr>
                <w:tcW w:w="2340" w:type="dxa"/>
                <w:gridSpan w:val="2"/>
              </w:tcPr>
              <w:sdt>
                <w:sdtPr>
                  <w:tag w:val="goog_rdk_408"/>
                  <w:id w:val="-844402702"/>
                </w:sdtPr>
                <w:sdtContent>
                  <w:p w14:paraId="000002AB" w14:textId="77777777" w:rsidR="009F1887" w:rsidRDefault="00EC15FD">
                    <w:pPr>
                      <w:jc w:val="center"/>
                      <w:rPr>
                        <w:del w:id="673" w:author="Author" w:date="2020-07-15T05:14:00Z"/>
                        <w:rFonts w:ascii="Times New Roman" w:eastAsia="Times New Roman" w:hAnsi="Times New Roman" w:cs="Times New Roman"/>
                      </w:rPr>
                    </w:pPr>
                    <w:sdt>
                      <w:sdtPr>
                        <w:tag w:val="goog_rdk_407"/>
                        <w:id w:val="-450940327"/>
                      </w:sdtPr>
                      <w:sdtContent/>
                    </w:sdt>
                  </w:p>
                </w:sdtContent>
              </w:sdt>
            </w:tc>
            <w:tc>
              <w:tcPr>
                <w:tcW w:w="2024" w:type="dxa"/>
                <w:gridSpan w:val="2"/>
              </w:tcPr>
              <w:sdt>
                <w:sdtPr>
                  <w:tag w:val="goog_rdk_412"/>
                  <w:id w:val="-1704860172"/>
                </w:sdtPr>
                <w:sdtContent>
                  <w:p w14:paraId="000002AD" w14:textId="77777777" w:rsidR="009F1887" w:rsidRDefault="00EC15FD">
                    <w:pPr>
                      <w:spacing w:before="60"/>
                      <w:jc w:val="center"/>
                      <w:rPr>
                        <w:del w:id="674" w:author="Author" w:date="2020-07-15T05:14:00Z"/>
                        <w:rFonts w:ascii="Times New Roman" w:eastAsia="Times New Roman" w:hAnsi="Times New Roman" w:cs="Times New Roman"/>
                      </w:rPr>
                    </w:pPr>
                    <w:sdt>
                      <w:sdtPr>
                        <w:tag w:val="goog_rdk_411"/>
                        <w:id w:val="-512149685"/>
                      </w:sdtPr>
                      <w:sdtContent/>
                    </w:sdt>
                  </w:p>
                </w:sdtContent>
              </w:sdt>
            </w:tc>
          </w:tr>
        </w:sdtContent>
      </w:sdt>
      <w:tr w:rsidR="009F1887" w14:paraId="1F3F32A4" w14:textId="77777777" w:rsidTr="00483E40">
        <w:tc>
          <w:tcPr>
            <w:tcW w:w="2127" w:type="dxa"/>
          </w:tcPr>
          <w:p w14:paraId="000002AF"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Is the subproject located within or in the vicinity of any known cultural heritage sites?</w:t>
            </w:r>
          </w:p>
        </w:tc>
        <w:tc>
          <w:tcPr>
            <w:tcW w:w="1170" w:type="dxa"/>
          </w:tcPr>
          <w:p w14:paraId="000002B0" w14:textId="77777777" w:rsidR="009F1887" w:rsidRDefault="009F1887">
            <w:pPr>
              <w:rPr>
                <w:rFonts w:ascii="Times New Roman" w:eastAsia="Times New Roman" w:hAnsi="Times New Roman" w:cs="Times New Roman"/>
              </w:rPr>
            </w:pPr>
          </w:p>
        </w:tc>
        <w:tc>
          <w:tcPr>
            <w:tcW w:w="1170" w:type="dxa"/>
          </w:tcPr>
          <w:p w14:paraId="000002B1" w14:textId="77777777" w:rsidR="009F1887" w:rsidRDefault="009F1887">
            <w:pPr>
              <w:rPr>
                <w:rFonts w:ascii="Times New Roman" w:eastAsia="Times New Roman" w:hAnsi="Times New Roman" w:cs="Times New Roman"/>
              </w:rPr>
            </w:pPr>
          </w:p>
        </w:tc>
        <w:tc>
          <w:tcPr>
            <w:tcW w:w="1170" w:type="dxa"/>
          </w:tcPr>
          <w:p w14:paraId="000002B2" w14:textId="77777777" w:rsidR="009F1887" w:rsidRDefault="009F1887">
            <w:pPr>
              <w:jc w:val="center"/>
              <w:rPr>
                <w:rFonts w:ascii="Times New Roman" w:eastAsia="Times New Roman" w:hAnsi="Times New Roman" w:cs="Times New Roman"/>
              </w:rPr>
            </w:pPr>
          </w:p>
        </w:tc>
        <w:tc>
          <w:tcPr>
            <w:tcW w:w="2018" w:type="dxa"/>
            <w:gridSpan w:val="2"/>
          </w:tcPr>
          <w:p w14:paraId="000002B3"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ESS8</w:t>
            </w:r>
          </w:p>
        </w:tc>
        <w:tc>
          <w:tcPr>
            <w:tcW w:w="2127" w:type="dxa"/>
            <w:gridSpan w:val="2"/>
          </w:tcPr>
          <w:p w14:paraId="000002B5"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5686928C" w14:textId="77777777" w:rsidTr="00483E40">
        <w:tc>
          <w:tcPr>
            <w:tcW w:w="2127" w:type="dxa"/>
          </w:tcPr>
          <w:p w14:paraId="000002B7" w14:textId="77777777" w:rsidR="009F1887" w:rsidRDefault="00790D5B">
            <w:pPr>
              <w:rPr>
                <w:rFonts w:ascii="Times New Roman" w:eastAsia="Times New Roman" w:hAnsi="Times New Roman" w:cs="Times New Roman"/>
              </w:rPr>
            </w:pPr>
            <w:r>
              <w:rPr>
                <w:rFonts w:ascii="Times New Roman" w:eastAsia="Times New Roman" w:hAnsi="Times New Roman" w:cs="Times New Roman"/>
              </w:rPr>
              <w:t>Does the project area present considerable Gender-Based Violence (GBV) and Sexual Exploitation and Abuse (SEA) risk?</w:t>
            </w:r>
          </w:p>
        </w:tc>
        <w:tc>
          <w:tcPr>
            <w:tcW w:w="1170" w:type="dxa"/>
          </w:tcPr>
          <w:p w14:paraId="000002B8" w14:textId="77777777" w:rsidR="009F1887" w:rsidRDefault="009F1887">
            <w:pPr>
              <w:rPr>
                <w:rFonts w:ascii="Times New Roman" w:eastAsia="Times New Roman" w:hAnsi="Times New Roman" w:cs="Times New Roman"/>
              </w:rPr>
            </w:pPr>
          </w:p>
        </w:tc>
        <w:tc>
          <w:tcPr>
            <w:tcW w:w="1170" w:type="dxa"/>
          </w:tcPr>
          <w:p w14:paraId="000002B9" w14:textId="77777777" w:rsidR="009F1887" w:rsidRDefault="009F1887">
            <w:pPr>
              <w:rPr>
                <w:rFonts w:ascii="Times New Roman" w:eastAsia="Times New Roman" w:hAnsi="Times New Roman" w:cs="Times New Roman"/>
              </w:rPr>
            </w:pPr>
          </w:p>
        </w:tc>
        <w:tc>
          <w:tcPr>
            <w:tcW w:w="1170" w:type="dxa"/>
          </w:tcPr>
          <w:p w14:paraId="000002BA" w14:textId="77777777" w:rsidR="009F1887" w:rsidRDefault="009F1887">
            <w:pPr>
              <w:jc w:val="center"/>
              <w:rPr>
                <w:rFonts w:ascii="Times New Roman" w:eastAsia="Times New Roman" w:hAnsi="Times New Roman" w:cs="Times New Roman"/>
              </w:rPr>
            </w:pPr>
          </w:p>
        </w:tc>
        <w:tc>
          <w:tcPr>
            <w:tcW w:w="2018" w:type="dxa"/>
            <w:gridSpan w:val="2"/>
          </w:tcPr>
          <w:p w14:paraId="000002BB"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ESS1</w:t>
            </w:r>
          </w:p>
        </w:tc>
        <w:tc>
          <w:tcPr>
            <w:tcW w:w="2127" w:type="dxa"/>
            <w:gridSpan w:val="2"/>
          </w:tcPr>
          <w:p w14:paraId="000002BD" w14:textId="77777777" w:rsidR="009F1887" w:rsidRDefault="00790D5B">
            <w:pPr>
              <w:spacing w:before="60"/>
              <w:jc w:val="center"/>
              <w:rPr>
                <w:rFonts w:ascii="Times New Roman" w:eastAsia="Times New Roman" w:hAnsi="Times New Roman" w:cs="Times New Roman"/>
              </w:rPr>
            </w:pPr>
            <w:r>
              <w:rPr>
                <w:rFonts w:ascii="Times New Roman" w:eastAsia="Times New Roman" w:hAnsi="Times New Roman" w:cs="Times New Roman"/>
              </w:rPr>
              <w:t>ESIA/ESMP, SEP</w:t>
            </w:r>
          </w:p>
        </w:tc>
      </w:tr>
      <w:tr w:rsidR="009F1887" w14:paraId="03B0DDF4" w14:textId="77777777" w:rsidTr="00483E40">
        <w:tc>
          <w:tcPr>
            <w:tcW w:w="2127" w:type="dxa"/>
          </w:tcPr>
          <w:p w14:paraId="000002BF" w14:textId="77777777" w:rsidR="009F1887" w:rsidRDefault="00790D5B">
            <w:pPr>
              <w:spacing w:after="240" w:line="240" w:lineRule="auto"/>
              <w:rPr>
                <w:rFonts w:ascii="Times New Roman" w:eastAsia="Times New Roman" w:hAnsi="Times New Roman" w:cs="Times New Roman"/>
              </w:rPr>
            </w:pPr>
            <w:r>
              <w:rPr>
                <w:rFonts w:ascii="Times New Roman" w:eastAsia="Times New Roman" w:hAnsi="Times New Roman" w:cs="Times New Roman"/>
              </w:rPr>
              <w:t>Is there any territorial dispute between two or more countries in the subproject and its ancillary aspects and related activities?</w:t>
            </w:r>
          </w:p>
        </w:tc>
        <w:tc>
          <w:tcPr>
            <w:tcW w:w="1170" w:type="dxa"/>
          </w:tcPr>
          <w:p w14:paraId="000002C0" w14:textId="77777777" w:rsidR="009F1887" w:rsidRDefault="009F1887">
            <w:pPr>
              <w:rPr>
                <w:rFonts w:ascii="Times New Roman" w:eastAsia="Times New Roman" w:hAnsi="Times New Roman" w:cs="Times New Roman"/>
              </w:rPr>
            </w:pPr>
          </w:p>
        </w:tc>
        <w:tc>
          <w:tcPr>
            <w:tcW w:w="1170" w:type="dxa"/>
          </w:tcPr>
          <w:p w14:paraId="000002C1" w14:textId="77777777" w:rsidR="009F1887" w:rsidRDefault="009F1887">
            <w:pPr>
              <w:rPr>
                <w:rFonts w:ascii="Times New Roman" w:eastAsia="Times New Roman" w:hAnsi="Times New Roman" w:cs="Times New Roman"/>
              </w:rPr>
            </w:pPr>
          </w:p>
        </w:tc>
        <w:tc>
          <w:tcPr>
            <w:tcW w:w="1170" w:type="dxa"/>
          </w:tcPr>
          <w:p w14:paraId="000002C2" w14:textId="77777777" w:rsidR="009F1887" w:rsidRDefault="009F1887">
            <w:pPr>
              <w:jc w:val="center"/>
              <w:rPr>
                <w:rFonts w:ascii="Times New Roman" w:eastAsia="Times New Roman" w:hAnsi="Times New Roman" w:cs="Times New Roman"/>
                <w:i/>
              </w:rPr>
            </w:pPr>
          </w:p>
        </w:tc>
        <w:tc>
          <w:tcPr>
            <w:tcW w:w="2018" w:type="dxa"/>
            <w:gridSpan w:val="2"/>
          </w:tcPr>
          <w:p w14:paraId="000002C3" w14:textId="77777777" w:rsidR="009F1887" w:rsidRDefault="00790D5B">
            <w:pPr>
              <w:jc w:val="center"/>
              <w:rPr>
                <w:rFonts w:ascii="Times New Roman" w:eastAsia="Times New Roman" w:hAnsi="Times New Roman" w:cs="Times New Roman"/>
                <w:i/>
              </w:rPr>
            </w:pPr>
            <w:r>
              <w:rPr>
                <w:rFonts w:ascii="Times New Roman" w:eastAsia="Times New Roman" w:hAnsi="Times New Roman" w:cs="Times New Roman"/>
                <w:i/>
              </w:rPr>
              <w:t>OP7.60 Projects in Disputed Areas</w:t>
            </w:r>
          </w:p>
        </w:tc>
        <w:tc>
          <w:tcPr>
            <w:tcW w:w="2127" w:type="dxa"/>
            <w:gridSpan w:val="2"/>
          </w:tcPr>
          <w:p w14:paraId="000002C5"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Governments concerned agree</w:t>
            </w:r>
          </w:p>
        </w:tc>
      </w:tr>
      <w:tr w:rsidR="009F1887" w14:paraId="27EA6B83" w14:textId="77777777" w:rsidTr="00483E40">
        <w:tc>
          <w:tcPr>
            <w:tcW w:w="2127" w:type="dxa"/>
          </w:tcPr>
          <w:p w14:paraId="000002C7" w14:textId="77777777" w:rsidR="009F1887" w:rsidRDefault="00790D5B">
            <w:pPr>
              <w:spacing w:after="240" w:line="240" w:lineRule="auto"/>
              <w:rPr>
                <w:rFonts w:ascii="Times New Roman" w:eastAsia="Times New Roman" w:hAnsi="Times New Roman" w:cs="Times New Roman"/>
              </w:rPr>
            </w:pPr>
            <w:r>
              <w:rPr>
                <w:rFonts w:ascii="Times New Roman" w:eastAsia="Times New Roman" w:hAnsi="Times New Roman" w:cs="Times New Roman"/>
              </w:rPr>
              <w:t>Will the subproject and related activities involve the use or potential pollution of, or be located in international waterways</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w:t>
            </w:r>
          </w:p>
        </w:tc>
        <w:tc>
          <w:tcPr>
            <w:tcW w:w="1170" w:type="dxa"/>
          </w:tcPr>
          <w:p w14:paraId="000002C8" w14:textId="77777777" w:rsidR="009F1887" w:rsidRDefault="009F1887">
            <w:pPr>
              <w:rPr>
                <w:rFonts w:ascii="Times New Roman" w:eastAsia="Times New Roman" w:hAnsi="Times New Roman" w:cs="Times New Roman"/>
              </w:rPr>
            </w:pPr>
          </w:p>
        </w:tc>
        <w:tc>
          <w:tcPr>
            <w:tcW w:w="1170" w:type="dxa"/>
          </w:tcPr>
          <w:p w14:paraId="000002C9" w14:textId="77777777" w:rsidR="009F1887" w:rsidRDefault="009F1887">
            <w:pPr>
              <w:rPr>
                <w:rFonts w:ascii="Times New Roman" w:eastAsia="Times New Roman" w:hAnsi="Times New Roman" w:cs="Times New Roman"/>
              </w:rPr>
            </w:pPr>
          </w:p>
        </w:tc>
        <w:tc>
          <w:tcPr>
            <w:tcW w:w="1170" w:type="dxa"/>
          </w:tcPr>
          <w:p w14:paraId="000002CA" w14:textId="77777777" w:rsidR="009F1887" w:rsidRDefault="009F1887">
            <w:pPr>
              <w:jc w:val="center"/>
              <w:rPr>
                <w:rFonts w:ascii="Times New Roman" w:eastAsia="Times New Roman" w:hAnsi="Times New Roman" w:cs="Times New Roman"/>
                <w:i/>
              </w:rPr>
            </w:pPr>
          </w:p>
        </w:tc>
        <w:tc>
          <w:tcPr>
            <w:tcW w:w="2018" w:type="dxa"/>
            <w:gridSpan w:val="2"/>
          </w:tcPr>
          <w:p w14:paraId="000002CB" w14:textId="77777777" w:rsidR="009F1887" w:rsidRDefault="00790D5B">
            <w:pPr>
              <w:jc w:val="center"/>
              <w:rPr>
                <w:rFonts w:ascii="Times New Roman" w:eastAsia="Times New Roman" w:hAnsi="Times New Roman" w:cs="Times New Roman"/>
                <w:i/>
              </w:rPr>
            </w:pPr>
            <w:r>
              <w:rPr>
                <w:rFonts w:ascii="Times New Roman" w:eastAsia="Times New Roman" w:hAnsi="Times New Roman" w:cs="Times New Roman"/>
                <w:i/>
              </w:rPr>
              <w:t>OP7.50 Projects on International Waterways</w:t>
            </w:r>
          </w:p>
        </w:tc>
        <w:tc>
          <w:tcPr>
            <w:tcW w:w="2127" w:type="dxa"/>
            <w:gridSpan w:val="2"/>
          </w:tcPr>
          <w:p w14:paraId="000002CD"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Notification</w:t>
            </w:r>
          </w:p>
          <w:p w14:paraId="000002CE" w14:textId="77777777" w:rsidR="009F1887" w:rsidRDefault="00790D5B">
            <w:pPr>
              <w:jc w:val="center"/>
              <w:rPr>
                <w:rFonts w:ascii="Times New Roman" w:eastAsia="Times New Roman" w:hAnsi="Times New Roman" w:cs="Times New Roman"/>
              </w:rPr>
            </w:pPr>
            <w:r>
              <w:rPr>
                <w:rFonts w:ascii="Times New Roman" w:eastAsia="Times New Roman" w:hAnsi="Times New Roman" w:cs="Times New Roman"/>
              </w:rPr>
              <w:t xml:space="preserve"> (or exceptions)</w:t>
            </w:r>
          </w:p>
        </w:tc>
      </w:tr>
    </w:tbl>
    <w:p w14:paraId="000002D0" w14:textId="77777777" w:rsidR="009F1887" w:rsidRDefault="009F1887">
      <w:pPr>
        <w:ind w:right="110"/>
        <w:rPr>
          <w:rFonts w:ascii="Times New Roman" w:eastAsia="Times New Roman" w:hAnsi="Times New Roman" w:cs="Times New Roman"/>
        </w:rPr>
      </w:pPr>
    </w:p>
    <w:p w14:paraId="000002D1" w14:textId="77777777" w:rsidR="009F1887" w:rsidRDefault="00790D5B">
      <w:pPr>
        <w:ind w:right="110"/>
        <w:rPr>
          <w:rFonts w:ascii="Times New Roman" w:eastAsia="Times New Roman" w:hAnsi="Times New Roman" w:cs="Times New Roman"/>
          <w:b/>
        </w:rPr>
      </w:pPr>
      <w:r>
        <w:rPr>
          <w:rFonts w:ascii="Times New Roman" w:eastAsia="Times New Roman" w:hAnsi="Times New Roman" w:cs="Times New Roman"/>
          <w:b/>
        </w:rPr>
        <w:t>Conclusions:</w:t>
      </w:r>
    </w:p>
    <w:p w14:paraId="000002D2" w14:textId="77777777" w:rsidR="009F1887" w:rsidRDefault="00790D5B">
      <w:pPr>
        <w:numPr>
          <w:ilvl w:val="0"/>
          <w:numId w:val="7"/>
        </w:numPr>
        <w:pBdr>
          <w:top w:val="nil"/>
          <w:left w:val="nil"/>
          <w:bottom w:val="nil"/>
          <w:right w:val="nil"/>
          <w:between w:val="nil"/>
        </w:pBdr>
        <w:spacing w:after="0"/>
        <w:ind w:right="110"/>
        <w:rPr>
          <w:rFonts w:ascii="Times New Roman" w:eastAsia="Times New Roman" w:hAnsi="Times New Roman" w:cs="Times New Roman"/>
          <w:b/>
          <w:color w:val="000000"/>
        </w:rPr>
      </w:pPr>
      <w:r>
        <w:rPr>
          <w:rFonts w:ascii="Times New Roman" w:eastAsia="Times New Roman" w:hAnsi="Times New Roman" w:cs="Times New Roman"/>
          <w:b/>
          <w:color w:val="000000"/>
        </w:rPr>
        <w:t>Proposed Environmental and Social Risk Ratings (High, Substantial, Moderate or Low). Provide Justifications.</w:t>
      </w:r>
    </w:p>
    <w:p w14:paraId="000002D3" w14:textId="77777777" w:rsidR="009F1887" w:rsidRDefault="009F1887">
      <w:pPr>
        <w:pBdr>
          <w:top w:val="nil"/>
          <w:left w:val="nil"/>
          <w:bottom w:val="nil"/>
          <w:right w:val="nil"/>
          <w:between w:val="nil"/>
        </w:pBdr>
        <w:spacing w:after="0"/>
        <w:ind w:left="720" w:right="110"/>
        <w:rPr>
          <w:rFonts w:ascii="Times New Roman" w:eastAsia="Times New Roman" w:hAnsi="Times New Roman" w:cs="Times New Roman"/>
          <w:b/>
          <w:color w:val="000000"/>
        </w:rPr>
      </w:pPr>
    </w:p>
    <w:p w14:paraId="000002D4" w14:textId="77777777" w:rsidR="009F1887" w:rsidRDefault="00790D5B">
      <w:pPr>
        <w:numPr>
          <w:ilvl w:val="0"/>
          <w:numId w:val="7"/>
        </w:numPr>
        <w:pBdr>
          <w:top w:val="nil"/>
          <w:left w:val="nil"/>
          <w:bottom w:val="nil"/>
          <w:right w:val="nil"/>
          <w:between w:val="nil"/>
        </w:pBdr>
        <w:spacing w:after="0"/>
        <w:ind w:right="11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Proposed E&amp;S Management Plans/ Instruments. </w:t>
      </w:r>
    </w:p>
    <w:p w14:paraId="000002D5" w14:textId="77777777" w:rsidR="009F1887" w:rsidRDefault="009F1887">
      <w:pPr>
        <w:pBdr>
          <w:top w:val="nil"/>
          <w:left w:val="nil"/>
          <w:bottom w:val="nil"/>
          <w:right w:val="nil"/>
          <w:between w:val="nil"/>
        </w:pBdr>
        <w:spacing w:after="0"/>
        <w:ind w:left="720"/>
        <w:rPr>
          <w:rFonts w:ascii="Times New Roman" w:eastAsia="Times New Roman" w:hAnsi="Times New Roman" w:cs="Times New Roman"/>
          <w:b/>
          <w:color w:val="000000"/>
        </w:rPr>
      </w:pPr>
    </w:p>
    <w:p w14:paraId="000002D6" w14:textId="77777777" w:rsidR="009F1887" w:rsidRDefault="009F1887">
      <w:pPr>
        <w:pBdr>
          <w:top w:val="nil"/>
          <w:left w:val="nil"/>
          <w:bottom w:val="nil"/>
          <w:right w:val="nil"/>
          <w:between w:val="nil"/>
        </w:pBdr>
        <w:ind w:left="720" w:right="110"/>
        <w:rPr>
          <w:rFonts w:ascii="Times New Roman" w:eastAsia="Times New Roman" w:hAnsi="Times New Roman" w:cs="Times New Roman"/>
          <w:b/>
          <w:color w:val="000000"/>
        </w:rPr>
      </w:pPr>
    </w:p>
    <w:sdt>
      <w:sdtPr>
        <w:tag w:val="goog_rdk_417"/>
        <w:id w:val="1352764018"/>
      </w:sdtPr>
      <w:sdtContent>
        <w:p w14:paraId="000002D7" w14:textId="77777777" w:rsidR="009F1887" w:rsidRDefault="00EC15FD">
          <w:pPr>
            <w:rPr>
              <w:ins w:id="675" w:author="Author" w:date="2020-07-15T05:14:00Z"/>
              <w:rFonts w:ascii="Times New Roman" w:eastAsia="Times New Roman" w:hAnsi="Times New Roman" w:cs="Times New Roman"/>
              <w:b/>
            </w:rPr>
          </w:pPr>
          <w:sdt>
            <w:sdtPr>
              <w:tag w:val="goog_rdk_416"/>
              <w:id w:val="-833288745"/>
            </w:sdtPr>
            <w:sdtContent>
              <w:ins w:id="676" w:author="Author" w:date="2020-07-15T05:14:00Z">
                <w:r w:rsidR="00790D5B">
                  <w:br w:type="page"/>
                </w:r>
              </w:ins>
            </w:sdtContent>
          </w:sdt>
        </w:p>
      </w:sdtContent>
    </w:sdt>
    <w:bookmarkStart w:id="677" w:name="_heading=h.3o7alnk" w:colFirst="0" w:colLast="0" w:displacedByCustomXml="next"/>
    <w:bookmarkEnd w:id="677" w:displacedByCustomXml="next"/>
    <w:sdt>
      <w:sdtPr>
        <w:tag w:val="goog_rdk_419"/>
        <w:id w:val="-1794982215"/>
      </w:sdtPr>
      <w:sdtContent>
        <w:p w14:paraId="000002D8" w14:textId="77777777" w:rsidR="009F1887" w:rsidRPr="009F1887" w:rsidRDefault="00EC15FD">
          <w:pPr>
            <w:keepNext/>
            <w:keepLines/>
            <w:spacing w:after="240" w:line="240" w:lineRule="auto"/>
            <w:ind w:left="-180"/>
            <w:rPr>
              <w:ins w:id="678" w:author="Author" w:date="2020-07-15T05:14:00Z"/>
              <w:rFonts w:ascii="Times New Roman" w:eastAsia="Times New Roman" w:hAnsi="Times New Roman" w:cs="Times New Roman"/>
              <w:b/>
              <w:color w:val="000000"/>
              <w:rPrChange w:id="679" w:author="Author" w:date="2020-07-15T05:14:00Z">
                <w:rPr>
                  <w:ins w:id="680" w:author="Author" w:date="2020-07-15T05:14:00Z"/>
                </w:rPr>
              </w:rPrChange>
            </w:rPr>
            <w:pPrChange w:id="681" w:author="Author" w:date="2020-07-15T05:14:00Z">
              <w:pPr>
                <w:spacing w:line="240" w:lineRule="auto"/>
                <w:ind w:right="110"/>
                <w:jc w:val="both"/>
              </w:pPr>
            </w:pPrChange>
          </w:pPr>
          <w:sdt>
            <w:sdtPr>
              <w:tag w:val="goog_rdk_418"/>
              <w:id w:val="-1541584268"/>
            </w:sdtPr>
            <w:sdtContent>
              <w:ins w:id="682" w:author="Author" w:date="2020-07-15T05:14:00Z">
                <w:r w:rsidR="00790D5B">
                  <w:t>Annex II. Guidance for E&amp;S SCREENING AND RISK RATING A  COVID-19 response project</w:t>
                </w:r>
              </w:ins>
            </w:sdtContent>
          </w:sdt>
        </w:p>
      </w:sdtContent>
    </w:sdt>
    <w:bookmarkStart w:id="683" w:name="_heading=h.23ckvvd" w:colFirst="0" w:colLast="0" w:displacedByCustomXml="next"/>
    <w:bookmarkEnd w:id="683" w:displacedByCustomXml="next"/>
    <w:sdt>
      <w:sdtPr>
        <w:tag w:val="goog_rdk_426"/>
        <w:id w:val="758186702"/>
      </w:sdtPr>
      <w:sdtContent>
        <w:p w14:paraId="000002D9" w14:textId="77777777" w:rsidR="009F1887" w:rsidRPr="009F1887" w:rsidRDefault="00EC15FD">
          <w:pPr>
            <w:keepNext/>
            <w:keepLines/>
            <w:spacing w:after="240" w:line="240" w:lineRule="auto"/>
            <w:ind w:left="-180"/>
            <w:rPr>
              <w:color w:val="000000"/>
              <w:rPrChange w:id="684" w:author="Author" w:date="2020-07-15T05:14:00Z">
                <w:rPr>
                  <w:rFonts w:ascii="Times New Roman" w:eastAsia="Times New Roman" w:hAnsi="Times New Roman" w:cs="Times New Roman"/>
                  <w:b/>
                </w:rPr>
              </w:rPrChange>
            </w:rPr>
            <w:pPrChange w:id="685" w:author="Author" w:date="2020-07-15T05:14:00Z">
              <w:pPr>
                <w:spacing w:line="240" w:lineRule="auto"/>
                <w:ind w:right="110"/>
                <w:jc w:val="both"/>
              </w:pPr>
            </w:pPrChange>
          </w:pPr>
          <w:sdt>
            <w:sdtPr>
              <w:tag w:val="goog_rdk_420"/>
              <w:id w:val="783234472"/>
            </w:sdtPr>
            <w:sdtContent>
              <w:ins w:id="686" w:author="Author" w:date="2020-07-15T05:14:00Z">
                <w:r w:rsidR="00790D5B">
                  <w:t xml:space="preserve"> </w:t>
                </w:r>
              </w:ins>
            </w:sdtContent>
          </w:sdt>
          <w:sdt>
            <w:sdtPr>
              <w:tag w:val="goog_rdk_421"/>
              <w:id w:val="-1163162799"/>
            </w:sdtPr>
            <w:sdtContent>
              <w:r w:rsidR="00790D5B">
                <w:rPr>
                  <w:rPrChange w:id="687" w:author="Author" w:date="2020-07-15T05:14:00Z">
                    <w:rPr>
                      <w:b/>
                    </w:rPr>
                  </w:rPrChange>
                </w:rPr>
                <w:t>INFECTION CONTROL: CONSIDERATIONS AND TOOLS TO ASSIST IN</w:t>
              </w:r>
            </w:sdtContent>
          </w:sdt>
          <w:sdt>
            <w:sdtPr>
              <w:tag w:val="goog_rdk_422"/>
              <w:id w:val="-2123598905"/>
            </w:sdtPr>
            <w:sdtContent>
              <w:sdt>
                <w:sdtPr>
                  <w:tag w:val="goog_rdk_423"/>
                  <w:id w:val="225734172"/>
                </w:sdtPr>
                <w:sdtContent>
                  <w:del w:id="688" w:author="Author" w:date="2020-07-15T05:14:00Z">
                    <w:r w:rsidR="00790D5B">
                      <w:rPr>
                        <w:rPrChange w:id="689" w:author="Author" w:date="2020-07-15T05:14:00Z">
                          <w:rPr>
                            <w:b/>
                          </w:rPr>
                        </w:rPrChange>
                      </w:rPr>
                      <w:delText xml:space="preserve"> </w:delText>
                    </w:r>
                  </w:del>
                </w:sdtContent>
              </w:sdt>
            </w:sdtContent>
          </w:sdt>
          <w:sdt>
            <w:sdtPr>
              <w:tag w:val="goog_rdk_424"/>
              <w:id w:val="-496651283"/>
            </w:sdtPr>
            <w:sdtContent>
              <w:r w:rsidR="00790D5B">
                <w:rPr>
                  <w:rPrChange w:id="690" w:author="Author" w:date="2020-07-15T05:14:00Z">
                    <w:rPr>
                      <w:b/>
                    </w:rPr>
                  </w:rPrChange>
                </w:rPr>
                <w:t xml:space="preserve"> E&amp;S SCREENING AND RISK RATING:</w:t>
              </w:r>
            </w:sdtContent>
          </w:sdt>
          <w:sdt>
            <w:sdtPr>
              <w:tag w:val="goog_rdk_425"/>
              <w:id w:val="-53481602"/>
            </w:sdtPr>
            <w:sdtContent/>
          </w:sdt>
        </w:p>
      </w:sdtContent>
    </w:sdt>
    <w:p w14:paraId="000002DA"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In the context of global COVID-19 outbreak, many countries have adopted a containment strategy that includes extensive testing, quarantine, isolation and treatment either in a medical facility or at home.</w:t>
      </w:r>
    </w:p>
    <w:p w14:paraId="000002DB"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A  COVID-19 response project may include the following activities:</w:t>
      </w:r>
    </w:p>
    <w:p w14:paraId="000002DC" w14:textId="77777777" w:rsidR="009F1887" w:rsidRDefault="00790D5B">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construction of and/or operational support to medical laboratories, quarantine and isolation centers at multiple locations and in different forms, and infection treatment centers in existing healthcare facilities </w:t>
      </w:r>
    </w:p>
    <w:p w14:paraId="000002DD" w14:textId="77777777" w:rsidR="009F1887" w:rsidRDefault="00790D5B">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procurement and delivery of medical supplies, equipment and materials, such as reagents, chemicals, and Personal Protective Equipment (PPEs)</w:t>
      </w:r>
    </w:p>
    <w:p w14:paraId="000002DE" w14:textId="77777777" w:rsidR="009F1887" w:rsidRDefault="00790D5B">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transportation of potentially infected specimens from healthcare facilities to testing laboratories</w:t>
      </w:r>
    </w:p>
    <w:p w14:paraId="000002DF" w14:textId="77777777" w:rsidR="009F1887" w:rsidRDefault="00790D5B">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construction, expansion or enhancing healthcare waste and wastewater facilities </w:t>
      </w:r>
    </w:p>
    <w:p w14:paraId="000002E0" w14:textId="77777777" w:rsidR="009F1887" w:rsidRDefault="00790D5B">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training of medical workers and volunteers</w:t>
      </w:r>
    </w:p>
    <w:p w14:paraId="000002E1" w14:textId="77777777" w:rsidR="009F1887" w:rsidRDefault="00790D5B">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community engagement and communication </w:t>
      </w:r>
    </w:p>
    <w:p w14:paraId="000002E2" w14:textId="77777777" w:rsidR="009F1887" w:rsidRDefault="009F1887">
      <w:pPr>
        <w:pBdr>
          <w:top w:val="nil"/>
          <w:left w:val="nil"/>
          <w:bottom w:val="nil"/>
          <w:right w:val="nil"/>
          <w:between w:val="nil"/>
        </w:pBdr>
        <w:spacing w:after="0" w:line="240" w:lineRule="auto"/>
        <w:ind w:left="780"/>
        <w:jc w:val="both"/>
        <w:rPr>
          <w:rFonts w:ascii="Times New Roman" w:eastAsia="Times New Roman" w:hAnsi="Times New Roman" w:cs="Times New Roman"/>
          <w:color w:val="000000"/>
        </w:rPr>
      </w:pPr>
    </w:p>
    <w:p w14:paraId="000002E3" w14:textId="77777777" w:rsidR="009F1887" w:rsidRDefault="00790D5B">
      <w:pPr>
        <w:numPr>
          <w:ilvl w:val="0"/>
          <w:numId w:val="56"/>
        </w:numPr>
        <w:pBdr>
          <w:top w:val="nil"/>
          <w:left w:val="nil"/>
          <w:bottom w:val="nil"/>
          <w:right w:val="nil"/>
          <w:between w:val="nil"/>
        </w:pBdr>
        <w:spacing w:after="1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Screening E&amp;S Risks of Medical laboratories</w:t>
      </w:r>
    </w:p>
    <w:p w14:paraId="000002E4"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Many COVID-19 projects include capacity building and operational support to existing medical laboratories. It is important that such  laboratories have in place procedures relevant to appropriate biosafety practices. WHO advises that non-propagative diagnostic work can be conducted in a Biosafety Level 2 (BSL-2) laboratory, while propagative work should be conducted at a BSL-3 laboratory. Patient specimens should be transported as Category B infectious substance (UN3373), while viral cultures or isolates should be transported as Category A “Infectious substance, affecting humans” (UN2814).The process for assessing  the biosafety level of a medical laboratory (including management of  the laboratory operations and the transportation of specimens) should consider both biosafety and general safety risks. OHS of workers in the laboratory  and potential community exposure to the virus should be considered. </w:t>
      </w:r>
    </w:p>
    <w:p w14:paraId="000002E5"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documents provide further guidance on  screening of the E&amp;S risks associated with a medical laboratory. They also provide information for assessing and managing the risks. </w:t>
      </w:r>
    </w:p>
    <w:p w14:paraId="000002E6" w14:textId="77777777" w:rsidR="009F1887" w:rsidRDefault="00EC15FD">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26">
        <w:r w:rsidR="00790D5B">
          <w:rPr>
            <w:rFonts w:ascii="Times New Roman" w:eastAsia="Times New Roman" w:hAnsi="Times New Roman" w:cs="Times New Roman"/>
            <w:color w:val="0000FF"/>
            <w:u w:val="single"/>
          </w:rPr>
          <w:t>WHO; Prioritized Laboratory Testing Strategy According to 4Cs Transmission Scenarios</w:t>
        </w:r>
      </w:hyperlink>
    </w:p>
    <w:p w14:paraId="000002E7" w14:textId="77777777" w:rsidR="009F1887" w:rsidRDefault="00EC15FD">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27">
        <w:r w:rsidR="00790D5B">
          <w:rPr>
            <w:rFonts w:ascii="Times New Roman" w:eastAsia="Times New Roman" w:hAnsi="Times New Roman" w:cs="Times New Roman"/>
            <w:color w:val="0000FF"/>
            <w:u w:val="single"/>
          </w:rPr>
          <w:t>WHO Covid-19 Technical Guidance: Laboratory testing for 2019-nCoV in humans</w:t>
        </w:r>
      </w:hyperlink>
      <w:r w:rsidR="00790D5B">
        <w:rPr>
          <w:rFonts w:ascii="Times New Roman" w:eastAsia="Times New Roman" w:hAnsi="Times New Roman" w:cs="Times New Roman"/>
          <w:color w:val="000000"/>
        </w:rPr>
        <w:t xml:space="preserve">: </w:t>
      </w:r>
    </w:p>
    <w:p w14:paraId="000002E8" w14:textId="77777777" w:rsidR="009F1887" w:rsidRDefault="00EC15FD">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28">
        <w:r w:rsidR="00790D5B">
          <w:rPr>
            <w:rFonts w:ascii="Times New Roman" w:eastAsia="Times New Roman" w:hAnsi="Times New Roman" w:cs="Times New Roman"/>
            <w:color w:val="0000FF"/>
            <w:u w:val="single"/>
          </w:rPr>
          <w:t>WHO Laboratory Biosafety Manual, 3</w:t>
        </w:r>
      </w:hyperlink>
      <w:hyperlink r:id="rId29">
        <w:r w:rsidR="00790D5B">
          <w:rPr>
            <w:rFonts w:ascii="Times New Roman" w:eastAsia="Times New Roman" w:hAnsi="Times New Roman" w:cs="Times New Roman"/>
            <w:color w:val="0000FF"/>
            <w:u w:val="single"/>
            <w:vertAlign w:val="superscript"/>
          </w:rPr>
          <w:t>rd</w:t>
        </w:r>
      </w:hyperlink>
      <w:hyperlink r:id="rId30">
        <w:r w:rsidR="00790D5B">
          <w:rPr>
            <w:rFonts w:ascii="Times New Roman" w:eastAsia="Times New Roman" w:hAnsi="Times New Roman" w:cs="Times New Roman"/>
            <w:color w:val="0000FF"/>
            <w:u w:val="single"/>
          </w:rPr>
          <w:t xml:space="preserve"> edition</w:t>
        </w:r>
      </w:hyperlink>
    </w:p>
    <w:p w14:paraId="000002E9" w14:textId="77777777" w:rsidR="009F1887" w:rsidRDefault="00EC15FD">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31">
        <w:r w:rsidR="00790D5B">
          <w:rPr>
            <w:rFonts w:ascii="Times New Roman" w:eastAsia="Times New Roman" w:hAnsi="Times New Roman" w:cs="Times New Roman"/>
            <w:color w:val="0000FF"/>
            <w:u w:val="single"/>
          </w:rPr>
          <w:t xml:space="preserve">USCDC, EPA, DOT, </w:t>
        </w:r>
      </w:hyperlink>
      <w:hyperlink r:id="rId32">
        <w:r w:rsidR="00790D5B">
          <w:rPr>
            <w:rFonts w:ascii="Times New Roman" w:eastAsia="Times New Roman" w:hAnsi="Times New Roman" w:cs="Times New Roman"/>
            <w:i/>
            <w:color w:val="0000FF"/>
            <w:u w:val="single"/>
          </w:rPr>
          <w:t>et al</w:t>
        </w:r>
      </w:hyperlink>
      <w:hyperlink r:id="rId33">
        <w:r w:rsidR="00790D5B">
          <w:rPr>
            <w:rFonts w:ascii="Times New Roman" w:eastAsia="Times New Roman" w:hAnsi="Times New Roman" w:cs="Times New Roman"/>
            <w:color w:val="0000FF"/>
            <w:u w:val="single"/>
          </w:rPr>
          <w:t>; Managing Solid Waste Contaminated with a Category A Infectious Substance</w:t>
        </w:r>
      </w:hyperlink>
      <w:r w:rsidR="00790D5B">
        <w:rPr>
          <w:rFonts w:ascii="Times New Roman" w:eastAsia="Times New Roman" w:hAnsi="Times New Roman" w:cs="Times New Roman"/>
          <w:color w:val="000000"/>
        </w:rPr>
        <w:t xml:space="preserve"> (August 2019) </w:t>
      </w:r>
    </w:p>
    <w:p w14:paraId="000002EA" w14:textId="77777777" w:rsidR="009F1887" w:rsidRDefault="00790D5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2EB" w14:textId="77777777" w:rsidR="009F1887" w:rsidRDefault="00790D5B">
      <w:pPr>
        <w:numPr>
          <w:ilvl w:val="0"/>
          <w:numId w:val="56"/>
        </w:numPr>
        <w:pBdr>
          <w:top w:val="nil"/>
          <w:left w:val="nil"/>
          <w:bottom w:val="nil"/>
          <w:right w:val="nil"/>
          <w:between w:val="nil"/>
        </w:pBdr>
        <w:spacing w:after="1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Screening E&amp;S Risks of Quarantine and Isolation Centers</w:t>
      </w:r>
    </w:p>
    <w:p w14:paraId="000002EC" w14:textId="77777777" w:rsidR="009F1887" w:rsidRDefault="00790D5B">
      <w:pPr>
        <w:spacing w:after="160" w:line="240" w:lineRule="auto"/>
        <w:jc w:val="both"/>
        <w:rPr>
          <w:rFonts w:ascii="Times New Roman" w:eastAsia="Times New Roman" w:hAnsi="Times New Roman" w:cs="Times New Roman"/>
        </w:rPr>
      </w:pPr>
      <w:r>
        <w:rPr>
          <w:rFonts w:ascii="Times New Roman" w:eastAsia="Times New Roman" w:hAnsi="Times New Roman" w:cs="Times New Roman"/>
        </w:rPr>
        <w:t>According to WHO:</w:t>
      </w:r>
    </w:p>
    <w:p w14:paraId="000002ED" w14:textId="77777777" w:rsidR="009F1887" w:rsidRDefault="00790D5B">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Quarantine</w:t>
      </w:r>
      <w:r>
        <w:rPr>
          <w:rFonts w:ascii="Times New Roman" w:eastAsia="Times New Roman" w:hAnsi="Times New Roman" w:cs="Times New Roman"/>
          <w:color w:val="000000"/>
        </w:rPr>
        <w:t xml:space="preserve"> is the restriction of activities of or the separation of persons </w:t>
      </w:r>
      <w:r>
        <w:rPr>
          <w:rFonts w:ascii="Times New Roman" w:eastAsia="Times New Roman" w:hAnsi="Times New Roman" w:cs="Times New Roman"/>
          <w:i/>
          <w:color w:val="000000"/>
        </w:rPr>
        <w:t>who are not ill but who may have been exposed to</w:t>
      </w:r>
      <w:r>
        <w:rPr>
          <w:rFonts w:ascii="Times New Roman" w:eastAsia="Times New Roman" w:hAnsi="Times New Roman" w:cs="Times New Roman"/>
          <w:color w:val="000000"/>
        </w:rPr>
        <w:t xml:space="preserve"> an infectious agent or disease, with the objective of monitoring their symptoms and ensuring the early detection of cases</w:t>
      </w:r>
    </w:p>
    <w:p w14:paraId="000002EE" w14:textId="77777777" w:rsidR="009F1887" w:rsidRDefault="00790D5B">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Isolation</w:t>
      </w:r>
      <w:r>
        <w:rPr>
          <w:rFonts w:ascii="Times New Roman" w:eastAsia="Times New Roman" w:hAnsi="Times New Roman" w:cs="Times New Roman"/>
          <w:color w:val="000000"/>
        </w:rPr>
        <w:t xml:space="preserve"> is the separation of </w:t>
      </w:r>
      <w:r>
        <w:rPr>
          <w:rFonts w:ascii="Times New Roman" w:eastAsia="Times New Roman" w:hAnsi="Times New Roman" w:cs="Times New Roman"/>
          <w:i/>
          <w:color w:val="000000"/>
        </w:rPr>
        <w:t>ill or infected persons</w:t>
      </w:r>
      <w:r>
        <w:rPr>
          <w:rFonts w:ascii="Times New Roman" w:eastAsia="Times New Roman" w:hAnsi="Times New Roman" w:cs="Times New Roman"/>
          <w:color w:val="000000"/>
        </w:rPr>
        <w:t xml:space="preserve"> from others to prevent the spread of infection or contamination.</w:t>
      </w:r>
    </w:p>
    <w:p w14:paraId="000002EF" w14:textId="77777777" w:rsidR="009F1887" w:rsidRDefault="009F1887">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00002F0" w14:textId="77777777" w:rsidR="009F1887" w:rsidRDefault="00790D5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Many COVID-19 projects include construction, renovation and equipping of quarantine and isolation centers at Point of Entry (POE), in urban and in remote areas. There may also be circumstances where tents </w:t>
      </w:r>
      <w:r>
        <w:rPr>
          <w:rFonts w:ascii="Times New Roman" w:eastAsia="Times New Roman" w:hAnsi="Times New Roman" w:cs="Times New Roman"/>
          <w:color w:val="000000"/>
        </w:rPr>
        <w:lastRenderedPageBreak/>
        <w:t xml:space="preserve">are used for quarantine or isolation. Public or private facilities such as a stadium or hotel may also be acquired for this purpose.  </w:t>
      </w:r>
    </w:p>
    <w:p w14:paraId="000002F1" w14:textId="77777777" w:rsidR="009F1887" w:rsidRDefault="009F1887">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00002F2" w14:textId="77777777" w:rsidR="009F1887" w:rsidRDefault="00790D5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screening for E&amp;S risks associated with quarantine and isolation, the following may be considered: </w:t>
      </w:r>
    </w:p>
    <w:p w14:paraId="000002F3" w14:textId="77777777" w:rsidR="009F1887" w:rsidRDefault="00790D5B">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contextual risks such as conflicts and presence or influx of refugees</w:t>
      </w:r>
    </w:p>
    <w:p w14:paraId="000002F4" w14:textId="77777777" w:rsidR="009F1887" w:rsidRDefault="00790D5B">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construction and decommissioning related risks</w:t>
      </w:r>
    </w:p>
    <w:p w14:paraId="000002F5" w14:textId="77777777" w:rsidR="009F1887" w:rsidRDefault="00790D5B">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land or asset acquisition</w:t>
      </w:r>
    </w:p>
    <w:p w14:paraId="000002F6" w14:textId="77777777" w:rsidR="009F1887" w:rsidRDefault="00790D5B">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use of security personnel or military forces</w:t>
      </w:r>
    </w:p>
    <w:p w14:paraId="000002F7" w14:textId="77777777" w:rsidR="009F1887" w:rsidRDefault="00790D5B">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availability of minimum requirements of food, fuel, water, hygiene</w:t>
      </w:r>
    </w:p>
    <w:p w14:paraId="000002F8" w14:textId="77777777" w:rsidR="009F1887" w:rsidRDefault="00790D5B">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whether infection prevention and control, and monitoring of quarantined persons can be carried out effectively</w:t>
      </w:r>
    </w:p>
    <w:p w14:paraId="000002F9" w14:textId="77777777" w:rsidR="009F1887" w:rsidRDefault="00790D5B">
      <w:pPr>
        <w:numPr>
          <w:ilvl w:val="0"/>
          <w:numId w:val="57"/>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whether adequate systems are in place for waste and wastewater management </w:t>
      </w:r>
    </w:p>
    <w:p w14:paraId="000002FA"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documents provide further guidance  regarding quarantine of persons. </w:t>
      </w:r>
    </w:p>
    <w:p w14:paraId="000002FB" w14:textId="77777777" w:rsidR="009F1887" w:rsidRDefault="00EC15FD">
      <w:pPr>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34">
        <w:r w:rsidR="00790D5B">
          <w:rPr>
            <w:rFonts w:ascii="Times New Roman" w:eastAsia="Times New Roman" w:hAnsi="Times New Roman" w:cs="Times New Roman"/>
            <w:color w:val="0000FF"/>
            <w:u w:val="single"/>
          </w:rPr>
          <w:t>WHO; Considerations for quarantine of individuals in the context of containment for coronavirus disease (COVID-19)</w:t>
        </w:r>
      </w:hyperlink>
    </w:p>
    <w:p w14:paraId="000002FC" w14:textId="77777777" w:rsidR="009F1887" w:rsidRDefault="00EC15FD">
      <w:pPr>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hyperlink r:id="rId35">
        <w:r w:rsidR="00790D5B">
          <w:rPr>
            <w:rFonts w:ascii="Times New Roman" w:eastAsia="Times New Roman" w:hAnsi="Times New Roman" w:cs="Times New Roman"/>
            <w:color w:val="0000FF"/>
            <w:u w:val="single"/>
          </w:rPr>
          <w:t>WHO; Key considerations for repatriation and quarantine of travelers in relation to the outbreak of novel coronavirus 2019-nCoV</w:t>
        </w:r>
      </w:hyperlink>
    </w:p>
    <w:p w14:paraId="000002FD" w14:textId="77777777" w:rsidR="009F1887" w:rsidRDefault="00EC15FD">
      <w:pPr>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hyperlink r:id="rId36">
        <w:r w:rsidR="00790D5B">
          <w:rPr>
            <w:rFonts w:ascii="Times New Roman" w:eastAsia="Times New Roman" w:hAnsi="Times New Roman" w:cs="Times New Roman"/>
            <w:color w:val="0000FF"/>
            <w:u w:val="single"/>
          </w:rPr>
          <w:t>WHO;</w:t>
        </w:r>
      </w:hyperlink>
      <w:hyperlink r:id="rId37">
        <w:r w:rsidR="00790D5B">
          <w:rPr>
            <w:rFonts w:ascii="Times New Roman" w:eastAsia="Times New Roman" w:hAnsi="Times New Roman" w:cs="Times New Roman"/>
            <w:b/>
            <w:color w:val="0000FF"/>
            <w:u w:val="single"/>
          </w:rPr>
          <w:t xml:space="preserve"> </w:t>
        </w:r>
      </w:hyperlink>
      <w:hyperlink r:id="rId38">
        <w:r w:rsidR="00790D5B">
          <w:rPr>
            <w:rFonts w:ascii="Times New Roman" w:eastAsia="Times New Roman" w:hAnsi="Times New Roman" w:cs="Times New Roman"/>
            <w:color w:val="0000FF"/>
            <w:u w:val="single"/>
          </w:rPr>
          <w:t>Preparedness, prevention and control of coronavirus disease (COVID-19) for refugees and migrants in non-camp settings</w:t>
        </w:r>
      </w:hyperlink>
    </w:p>
    <w:p w14:paraId="000002FE" w14:textId="77777777" w:rsidR="009F1887" w:rsidRDefault="009F1887">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rPr>
      </w:pPr>
    </w:p>
    <w:p w14:paraId="000002FF" w14:textId="77777777" w:rsidR="009F1887" w:rsidRDefault="00790D5B">
      <w:pPr>
        <w:numPr>
          <w:ilvl w:val="0"/>
          <w:numId w:val="56"/>
        </w:numPr>
        <w:pBdr>
          <w:top w:val="nil"/>
          <w:left w:val="nil"/>
          <w:bottom w:val="nil"/>
          <w:right w:val="nil"/>
          <w:between w:val="nil"/>
        </w:pBdr>
        <w:spacing w:after="1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SCREENING E&amp;S RISKS OF TREATMENT CENTERS</w:t>
      </w:r>
    </w:p>
    <w:p w14:paraId="00000300"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WHO has published a manual that provides recommendations, technical guidance, standards and minimum requirements for setting up and operating severe acute respiratory infection (SARI) treatment centers in low- and middle-income countries and limited-resource settings, including the standards needed to repurpose an existing building into a SARI treatment center, and specifically for acute respiratory infections that have the potential for rapid spread and may cause epidemics or pandemics. </w:t>
      </w:r>
    </w:p>
    <w:p w14:paraId="00000301" w14:textId="77777777" w:rsidR="009F1887" w:rsidRDefault="00EC15FD">
      <w:pPr>
        <w:numPr>
          <w:ilvl w:val="0"/>
          <w:numId w:val="3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hyperlink r:id="rId39">
        <w:r w:rsidR="00790D5B">
          <w:rPr>
            <w:rFonts w:ascii="Times New Roman" w:eastAsia="Times New Roman" w:hAnsi="Times New Roman" w:cs="Times New Roman"/>
            <w:color w:val="0000FF"/>
            <w:u w:val="single"/>
          </w:rPr>
          <w:t>WHO Severe Acute Respiratory Infections Treatment Centre</w:t>
        </w:r>
      </w:hyperlink>
    </w:p>
    <w:p w14:paraId="00000302" w14:textId="77777777" w:rsidR="009F1887" w:rsidRDefault="00EC15FD">
      <w:pPr>
        <w:numPr>
          <w:ilvl w:val="0"/>
          <w:numId w:val="3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hyperlink r:id="rId40">
        <w:r w:rsidR="00790D5B">
          <w:rPr>
            <w:rFonts w:ascii="Times New Roman" w:eastAsia="Times New Roman" w:hAnsi="Times New Roman" w:cs="Times New Roman"/>
            <w:color w:val="0000FF"/>
            <w:u w:val="single"/>
          </w:rPr>
          <w:t>WHO Covid-19 Technical Guidance: Infection prevention and control / WASH</w:t>
        </w:r>
      </w:hyperlink>
    </w:p>
    <w:p w14:paraId="00000303" w14:textId="77777777" w:rsidR="009F1887" w:rsidRDefault="00EC15FD">
      <w:pPr>
        <w:numPr>
          <w:ilvl w:val="0"/>
          <w:numId w:val="35"/>
        </w:numPr>
        <w:pBdr>
          <w:top w:val="nil"/>
          <w:left w:val="nil"/>
          <w:bottom w:val="nil"/>
          <w:right w:val="nil"/>
          <w:between w:val="nil"/>
        </w:pBdr>
        <w:spacing w:after="160" w:line="240" w:lineRule="auto"/>
        <w:ind w:left="360"/>
        <w:jc w:val="both"/>
        <w:rPr>
          <w:rFonts w:ascii="Times New Roman" w:eastAsia="Times New Roman" w:hAnsi="Times New Roman" w:cs="Times New Roman"/>
          <w:color w:val="000000"/>
        </w:rPr>
      </w:pPr>
      <w:hyperlink r:id="rId41">
        <w:r w:rsidR="00790D5B">
          <w:rPr>
            <w:rFonts w:ascii="Times New Roman" w:eastAsia="Times New Roman" w:hAnsi="Times New Roman" w:cs="Times New Roman"/>
            <w:color w:val="0000FF"/>
            <w:u w:val="single"/>
          </w:rPr>
          <w:t>WBG EHS Guidelines for Healthcare Facilities</w:t>
        </w:r>
      </w:hyperlink>
    </w:p>
    <w:p w14:paraId="00000304" w14:textId="77777777" w:rsidR="009F1887" w:rsidRDefault="00790D5B">
      <w:pPr>
        <w:spacing w:after="160" w:line="240" w:lineRule="auto"/>
        <w:jc w:val="both"/>
        <w:rPr>
          <w:rFonts w:ascii="Times New Roman" w:eastAsia="Times New Roman" w:hAnsi="Times New Roman" w:cs="Times New Roman"/>
          <w:b/>
        </w:rPr>
      </w:pPr>
      <w:r>
        <w:rPr>
          <w:rFonts w:ascii="Times New Roman" w:eastAsia="Times New Roman" w:hAnsi="Times New Roman" w:cs="Times New Roman"/>
        </w:rPr>
        <w:t>4</w:t>
      </w:r>
      <w:r>
        <w:rPr>
          <w:rFonts w:ascii="Times New Roman" w:eastAsia="Times New Roman" w:hAnsi="Times New Roman" w:cs="Times New Roman"/>
          <w:b/>
        </w:rPr>
        <w:t>. SCREENING E&amp;S RISKS RELATING TO LABOR AND WORKING CONDITIONS</w:t>
      </w:r>
    </w:p>
    <w:p w14:paraId="00000305" w14:textId="77777777" w:rsidR="009F1887" w:rsidRDefault="00790D5B">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COVID-19 project may include different types of workers. In addition to regular medical workers and laboratory workers who would normally be classified as direct workers, the project may include contracted workers to carry out construction and community workers (such as community health volunteers) to provide clinical support, contact tracing, and data collection, etc. The size of the workforce engaged could be considerable. Risks for such a workforce will range from occupational health and safety to types of contracts and terms and conditions of employment. Further details relevant to labor and working conditions for COVID-19 projects are discussed in the </w:t>
      </w:r>
      <w:hyperlink r:id="rId42">
        <w:r>
          <w:rPr>
            <w:rFonts w:ascii="Times New Roman" w:eastAsia="Times New Roman" w:hAnsi="Times New Roman" w:cs="Times New Roman"/>
            <w:color w:val="0000FF"/>
            <w:u w:val="single"/>
          </w:rPr>
          <w:t>LMP template for COVID-19</w:t>
        </w:r>
      </w:hyperlink>
      <w:r>
        <w:rPr>
          <w:rFonts w:ascii="Times New Roman" w:eastAsia="Times New Roman" w:hAnsi="Times New Roman" w:cs="Times New Roman"/>
          <w:color w:val="000000"/>
        </w:rPr>
        <w:t xml:space="preserve">. </w:t>
      </w:r>
    </w:p>
    <w:p w14:paraId="00000306" w14:textId="77777777" w:rsidR="009F1887" w:rsidRDefault="009F1887">
      <w:pPr>
        <w:ind w:right="110"/>
        <w:jc w:val="both"/>
        <w:rPr>
          <w:rFonts w:ascii="Times New Roman" w:eastAsia="Times New Roman" w:hAnsi="Times New Roman" w:cs="Times New Roman"/>
        </w:rPr>
      </w:pPr>
    </w:p>
    <w:p w14:paraId="00000307" w14:textId="77777777" w:rsidR="009F1887" w:rsidRDefault="009F1887">
      <w:pPr>
        <w:rPr>
          <w:rFonts w:ascii="Times New Roman" w:eastAsia="Times New Roman" w:hAnsi="Times New Roman" w:cs="Times New Roman"/>
        </w:rPr>
        <w:sectPr w:rsidR="009F1887">
          <w:pgSz w:w="12240" w:h="15840"/>
          <w:pgMar w:top="1440" w:right="1440" w:bottom="1440" w:left="1440" w:header="720" w:footer="720" w:gutter="0"/>
          <w:cols w:space="720" w:equalWidth="0">
            <w:col w:w="9360"/>
          </w:cols>
        </w:sectPr>
      </w:pPr>
    </w:p>
    <w:bookmarkStart w:id="691" w:name="_heading=h.ihv636" w:colFirst="0" w:colLast="0" w:displacedByCustomXml="next"/>
    <w:bookmarkEnd w:id="691" w:displacedByCustomXml="next"/>
    <w:sdt>
      <w:sdtPr>
        <w:tag w:val="goog_rdk_429"/>
        <w:id w:val="1342504438"/>
      </w:sdtPr>
      <w:sdtContent>
        <w:p w14:paraId="00000308" w14:textId="77777777" w:rsidR="009F1887" w:rsidRDefault="00EC15FD">
          <w:pPr>
            <w:keepNext/>
            <w:keepLines/>
            <w:pBdr>
              <w:top w:val="nil"/>
              <w:left w:val="nil"/>
              <w:bottom w:val="nil"/>
              <w:right w:val="nil"/>
              <w:between w:val="nil"/>
            </w:pBdr>
            <w:spacing w:after="240" w:line="240" w:lineRule="auto"/>
            <w:ind w:left="-180"/>
            <w:pPrChange w:id="692" w:author="Author" w:date="2020-07-15T05:14:00Z">
              <w:pPr>
                <w:keepNext/>
                <w:keepLines/>
                <w:numPr>
                  <w:numId w:val="11"/>
                </w:numPr>
                <w:pBdr>
                  <w:top w:val="nil"/>
                  <w:left w:val="nil"/>
                  <w:bottom w:val="nil"/>
                  <w:right w:val="nil"/>
                  <w:between w:val="nil"/>
                </w:pBdr>
                <w:spacing w:after="240" w:line="240" w:lineRule="auto"/>
                <w:ind w:left="648" w:hanging="360"/>
              </w:pPr>
            </w:pPrChange>
          </w:pPr>
          <w:sdt>
            <w:sdtPr>
              <w:tag w:val="goog_rdk_428"/>
              <w:id w:val="-341476573"/>
            </w:sdtPr>
            <w:sdtContent>
              <w:ins w:id="693" w:author="Author" w:date="2020-07-15T05:14:00Z">
                <w:r w:rsidR="00790D5B">
                  <w:rPr>
                    <w:rFonts w:ascii="Times New Roman" w:eastAsia="Times New Roman" w:hAnsi="Times New Roman" w:cs="Times New Roman"/>
                    <w:b/>
                    <w:color w:val="000000"/>
                  </w:rPr>
                  <w:t xml:space="preserve">Annex III. </w:t>
                </w:r>
              </w:ins>
            </w:sdtContent>
          </w:sdt>
          <w:r w:rsidR="00790D5B">
            <w:rPr>
              <w:rFonts w:ascii="Times New Roman" w:eastAsia="Times New Roman" w:hAnsi="Times New Roman" w:cs="Times New Roman"/>
              <w:b/>
              <w:color w:val="000000"/>
            </w:rPr>
            <w:t>Environmental and Social Management Plan (ESMP) Template</w:t>
          </w:r>
        </w:p>
      </w:sdtContent>
    </w:sdt>
    <w:p w14:paraId="00000309" w14:textId="77777777" w:rsidR="009F1887" w:rsidRDefault="00790D5B">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Introduction </w:t>
      </w:r>
    </w:p>
    <w:p w14:paraId="0000030A"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Borrower will need to develop an Environmental and Social Management Plan (ESMP), setting out how the environmental and social risks and impacts will be managed through the project lifecycle. This ESMP template includes several matrices identifying key risks and setting out suggested E&amp;S mitigation measures.  The Borrower can use the matrices to assist in identifying risks and possible mitigations.  </w:t>
      </w:r>
    </w:p>
    <w:p w14:paraId="0000030B"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ESMP should also  include other key elements relevant  to delivery of the  project, such as institutional arrangements, plans for capacity building and training plan, and background information. The Borrower may incorporate relevant sections of the ESMF into the ESMP, with necessary updates. </w:t>
      </w:r>
    </w:p>
    <w:p w14:paraId="0000030C"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matrices illustrate the importance of considering lifecycle management of E&amp;S risks, including during the different phases of the project identified in the ESMF: planning and design, construction, operations and decommissioning. </w:t>
      </w:r>
    </w:p>
    <w:p w14:paraId="0000030D"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issues and risks identified in the matrix are based on current COVID-19 responses  and experience of other Bank financed healthcare sector projects. The Borrower should review and add to them during the environmental and social assessment  of a subproject. </w:t>
      </w:r>
    </w:p>
    <w:p w14:paraId="0000030E"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WBG EHS Guidelines, WHO technical guidance documents and other GIIPs set out in detail many mitigation measures and good practices, and can be used by the Borrower to develop the ESMP. Proper stakeholder engagement should be conducted in determining the mitigation measures, including close involvement of medical and healthcare waste management professionals. </w:t>
      </w:r>
    </w:p>
    <w:p w14:paraId="0000030F"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The Infection Control and Waste Management Plan forms  part of the ESMP. The ESMP should identify other specific E&amp;S management tools/instruments, such as the Stakeholder Engagement Plan (SEP), labor management procedures (LMP), and/or Medical Waste Management Plan.</w:t>
      </w:r>
    </w:p>
    <w:p w14:paraId="00000310" w14:textId="77777777" w:rsidR="009F1887" w:rsidRDefault="009F1887">
      <w:pPr>
        <w:spacing w:line="240" w:lineRule="auto"/>
        <w:jc w:val="both"/>
        <w:rPr>
          <w:rFonts w:ascii="Times New Roman" w:eastAsia="Times New Roman" w:hAnsi="Times New Roman" w:cs="Times New Roman"/>
        </w:rPr>
      </w:pPr>
    </w:p>
    <w:p w14:paraId="00000311" w14:textId="77777777" w:rsidR="009F1887" w:rsidRDefault="00790D5B">
      <w:pPr>
        <w:spacing w:line="240" w:lineRule="auto"/>
        <w:rPr>
          <w:rFonts w:ascii="Times New Roman" w:eastAsia="Times New Roman" w:hAnsi="Times New Roman" w:cs="Times New Roman"/>
        </w:rPr>
        <w:sectPr w:rsidR="009F1887">
          <w:headerReference w:type="default" r:id="rId43"/>
          <w:pgSz w:w="12240" w:h="15840"/>
          <w:pgMar w:top="1440" w:right="1440" w:bottom="1440" w:left="1440" w:header="720" w:footer="720" w:gutter="0"/>
          <w:cols w:space="720" w:equalWidth="0">
            <w:col w:w="9360"/>
          </w:cols>
        </w:sectPr>
      </w:pPr>
      <w:r>
        <w:rPr>
          <w:rFonts w:ascii="Times New Roman" w:eastAsia="Times New Roman" w:hAnsi="Times New Roman" w:cs="Times New Roman"/>
        </w:rPr>
        <w:t xml:space="preserve"> </w:t>
      </w:r>
    </w:p>
    <w:p w14:paraId="00000312" w14:textId="77777777" w:rsidR="009F1887" w:rsidRDefault="00EC15FD">
      <w:pPr>
        <w:rPr>
          <w:rFonts w:ascii="Times New Roman" w:eastAsia="Times New Roman" w:hAnsi="Times New Roman" w:cs="Times New Roman"/>
          <w:b/>
        </w:rPr>
      </w:pPr>
      <w:sdt>
        <w:sdtPr>
          <w:tag w:val="goog_rdk_430"/>
          <w:id w:val="450373305"/>
        </w:sdtPr>
        <w:sdtContent>
          <w:commentRangeStart w:id="694"/>
        </w:sdtContent>
      </w:sdt>
      <w:r w:rsidR="00790D5B">
        <w:rPr>
          <w:rFonts w:ascii="Times New Roman" w:eastAsia="Times New Roman" w:hAnsi="Times New Roman" w:cs="Times New Roman"/>
          <w:b/>
        </w:rPr>
        <w:t>Table 1 - Environmental and Social Risks and Mitigation Measures during Planning and Designing Stage</w:t>
      </w:r>
      <w:commentRangeEnd w:id="694"/>
      <w:r w:rsidR="00790D5B">
        <w:commentReference w:id="694"/>
      </w:r>
    </w:p>
    <w:tbl>
      <w:tblPr>
        <w:tblStyle w:val="a2"/>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2461"/>
        <w:gridCol w:w="4478"/>
        <w:gridCol w:w="1851"/>
        <w:gridCol w:w="1465"/>
        <w:gridCol w:w="1410"/>
      </w:tblGrid>
      <w:tr w:rsidR="009F1887" w14:paraId="00ED4BBF" w14:textId="77777777">
        <w:tc>
          <w:tcPr>
            <w:tcW w:w="2725" w:type="dxa"/>
            <w:shd w:val="clear" w:color="auto" w:fill="FFC000"/>
          </w:tcPr>
          <w:p w14:paraId="00000313" w14:textId="77777777" w:rsidR="009F1887" w:rsidRDefault="00790D5B">
            <w:pPr>
              <w:jc w:val="center"/>
              <w:rPr>
                <w:b/>
              </w:rPr>
            </w:pPr>
            <w:r>
              <w:rPr>
                <w:b/>
              </w:rPr>
              <w:t>Key Activities</w:t>
            </w:r>
          </w:p>
        </w:tc>
        <w:tc>
          <w:tcPr>
            <w:tcW w:w="2461" w:type="dxa"/>
            <w:shd w:val="clear" w:color="auto" w:fill="FFC000"/>
          </w:tcPr>
          <w:p w14:paraId="00000314" w14:textId="77777777" w:rsidR="009F1887" w:rsidRDefault="00790D5B">
            <w:pPr>
              <w:jc w:val="center"/>
              <w:rPr>
                <w:b/>
              </w:rPr>
            </w:pPr>
            <w:r>
              <w:rPr>
                <w:b/>
              </w:rPr>
              <w:t>Potential E&amp;S</w:t>
            </w:r>
          </w:p>
          <w:p w14:paraId="00000315" w14:textId="77777777" w:rsidR="009F1887" w:rsidRDefault="00790D5B">
            <w:pPr>
              <w:jc w:val="center"/>
              <w:rPr>
                <w:b/>
              </w:rPr>
            </w:pPr>
            <w:r>
              <w:rPr>
                <w:b/>
              </w:rPr>
              <w:t>Risks and Impacts</w:t>
            </w:r>
          </w:p>
        </w:tc>
        <w:tc>
          <w:tcPr>
            <w:tcW w:w="4478" w:type="dxa"/>
            <w:shd w:val="clear" w:color="auto" w:fill="FFC000"/>
          </w:tcPr>
          <w:p w14:paraId="00000316" w14:textId="77777777" w:rsidR="009F1887" w:rsidRDefault="00790D5B">
            <w:pPr>
              <w:jc w:val="center"/>
              <w:rPr>
                <w:b/>
              </w:rPr>
            </w:pPr>
            <w:r>
              <w:rPr>
                <w:b/>
              </w:rPr>
              <w:t>Proposed Mitigation Measures</w:t>
            </w:r>
          </w:p>
        </w:tc>
        <w:tc>
          <w:tcPr>
            <w:tcW w:w="1851" w:type="dxa"/>
            <w:shd w:val="clear" w:color="auto" w:fill="FFC000"/>
          </w:tcPr>
          <w:p w14:paraId="00000317" w14:textId="77777777" w:rsidR="009F1887" w:rsidRDefault="00790D5B">
            <w:pPr>
              <w:jc w:val="center"/>
              <w:rPr>
                <w:b/>
              </w:rPr>
            </w:pPr>
            <w:r>
              <w:rPr>
                <w:b/>
              </w:rPr>
              <w:t>Responsibilities</w:t>
            </w:r>
          </w:p>
        </w:tc>
        <w:tc>
          <w:tcPr>
            <w:tcW w:w="1465" w:type="dxa"/>
            <w:shd w:val="clear" w:color="auto" w:fill="FFC000"/>
          </w:tcPr>
          <w:p w14:paraId="00000318" w14:textId="77777777" w:rsidR="009F1887" w:rsidRDefault="00790D5B">
            <w:pPr>
              <w:jc w:val="center"/>
              <w:rPr>
                <w:b/>
              </w:rPr>
            </w:pPr>
            <w:r>
              <w:rPr>
                <w:b/>
              </w:rPr>
              <w:t>Timeline</w:t>
            </w:r>
          </w:p>
        </w:tc>
        <w:tc>
          <w:tcPr>
            <w:tcW w:w="1410" w:type="dxa"/>
            <w:shd w:val="clear" w:color="auto" w:fill="FFC000"/>
          </w:tcPr>
          <w:p w14:paraId="00000319" w14:textId="77777777" w:rsidR="009F1887" w:rsidRDefault="00790D5B">
            <w:pPr>
              <w:jc w:val="center"/>
              <w:rPr>
                <w:b/>
              </w:rPr>
            </w:pPr>
            <w:r>
              <w:rPr>
                <w:b/>
              </w:rPr>
              <w:t>Budget</w:t>
            </w:r>
          </w:p>
        </w:tc>
      </w:tr>
      <w:tr w:rsidR="009F1887" w14:paraId="2A7F9D67" w14:textId="77777777">
        <w:tc>
          <w:tcPr>
            <w:tcW w:w="2725" w:type="dxa"/>
          </w:tcPr>
          <w:p w14:paraId="0000031A" w14:textId="77777777" w:rsidR="009F1887" w:rsidRDefault="00790D5B">
            <w:pPr>
              <w:rPr>
                <w:b/>
              </w:rPr>
            </w:pPr>
            <w:r>
              <w:t>Identify the type, location and scale of healthcare facilities (HCF)</w:t>
            </w:r>
          </w:p>
        </w:tc>
        <w:tc>
          <w:tcPr>
            <w:tcW w:w="2461" w:type="dxa"/>
          </w:tcPr>
          <w:p w14:paraId="0000031B" w14:textId="77777777" w:rsidR="009F1887" w:rsidRDefault="009F1887">
            <w:pPr>
              <w:rPr>
                <w:b/>
              </w:rPr>
            </w:pPr>
          </w:p>
        </w:tc>
        <w:tc>
          <w:tcPr>
            <w:tcW w:w="4478" w:type="dxa"/>
          </w:tcPr>
          <w:p w14:paraId="0000031C" w14:textId="77777777" w:rsidR="009F1887" w:rsidRDefault="009F1887">
            <w:pPr>
              <w:rPr>
                <w:b/>
              </w:rPr>
            </w:pPr>
          </w:p>
        </w:tc>
        <w:tc>
          <w:tcPr>
            <w:tcW w:w="1851" w:type="dxa"/>
          </w:tcPr>
          <w:p w14:paraId="0000031D" w14:textId="77777777" w:rsidR="009F1887" w:rsidRDefault="009F1887">
            <w:pPr>
              <w:rPr>
                <w:b/>
              </w:rPr>
            </w:pPr>
          </w:p>
        </w:tc>
        <w:tc>
          <w:tcPr>
            <w:tcW w:w="1465" w:type="dxa"/>
          </w:tcPr>
          <w:p w14:paraId="0000031E" w14:textId="77777777" w:rsidR="009F1887" w:rsidRDefault="009F1887">
            <w:pPr>
              <w:rPr>
                <w:b/>
              </w:rPr>
            </w:pPr>
          </w:p>
        </w:tc>
        <w:tc>
          <w:tcPr>
            <w:tcW w:w="1410" w:type="dxa"/>
          </w:tcPr>
          <w:p w14:paraId="0000031F" w14:textId="77777777" w:rsidR="009F1887" w:rsidRDefault="009F1887">
            <w:pPr>
              <w:rPr>
                <w:b/>
              </w:rPr>
            </w:pPr>
          </w:p>
        </w:tc>
      </w:tr>
      <w:tr w:rsidR="009F1887" w14:paraId="7CC6490A" w14:textId="77777777">
        <w:tc>
          <w:tcPr>
            <w:tcW w:w="2725" w:type="dxa"/>
          </w:tcPr>
          <w:p w14:paraId="00000320" w14:textId="77777777" w:rsidR="009F1887" w:rsidRDefault="00790D5B">
            <w:pPr>
              <w:rPr>
                <w:b/>
              </w:rPr>
            </w:pPr>
            <w:r>
              <w:t>Identify the need for new construction, expansion, upgrading and/or rehabilitation</w:t>
            </w:r>
          </w:p>
        </w:tc>
        <w:tc>
          <w:tcPr>
            <w:tcW w:w="2461" w:type="dxa"/>
          </w:tcPr>
          <w:p w14:paraId="00000321" w14:textId="77777777" w:rsidR="009F1887" w:rsidRDefault="009F1887">
            <w:pPr>
              <w:rPr>
                <w:b/>
              </w:rPr>
            </w:pPr>
          </w:p>
        </w:tc>
        <w:tc>
          <w:tcPr>
            <w:tcW w:w="4478" w:type="dxa"/>
          </w:tcPr>
          <w:p w14:paraId="00000322" w14:textId="77777777" w:rsidR="009F1887" w:rsidRDefault="009F1887">
            <w:pPr>
              <w:rPr>
                <w:b/>
              </w:rPr>
            </w:pPr>
          </w:p>
        </w:tc>
        <w:tc>
          <w:tcPr>
            <w:tcW w:w="1851" w:type="dxa"/>
          </w:tcPr>
          <w:p w14:paraId="00000323" w14:textId="77777777" w:rsidR="009F1887" w:rsidRDefault="009F1887">
            <w:pPr>
              <w:rPr>
                <w:b/>
              </w:rPr>
            </w:pPr>
          </w:p>
        </w:tc>
        <w:tc>
          <w:tcPr>
            <w:tcW w:w="1465" w:type="dxa"/>
          </w:tcPr>
          <w:p w14:paraId="00000324" w14:textId="77777777" w:rsidR="009F1887" w:rsidRDefault="009F1887">
            <w:pPr>
              <w:rPr>
                <w:b/>
              </w:rPr>
            </w:pPr>
          </w:p>
        </w:tc>
        <w:tc>
          <w:tcPr>
            <w:tcW w:w="1410" w:type="dxa"/>
          </w:tcPr>
          <w:p w14:paraId="00000325" w14:textId="77777777" w:rsidR="009F1887" w:rsidRDefault="009F1887">
            <w:pPr>
              <w:rPr>
                <w:b/>
              </w:rPr>
            </w:pPr>
          </w:p>
        </w:tc>
      </w:tr>
      <w:tr w:rsidR="009F1887" w14:paraId="5DECFB0E" w14:textId="77777777">
        <w:tc>
          <w:tcPr>
            <w:tcW w:w="2725" w:type="dxa"/>
          </w:tcPr>
          <w:p w14:paraId="00000326" w14:textId="77777777" w:rsidR="009F1887" w:rsidRDefault="00790D5B">
            <w:pPr>
              <w:rPr>
                <w:b/>
              </w:rPr>
            </w:pPr>
            <w:r>
              <w:t>Identify the needs for ancillary works and associated facilities, such as access roads, construction materials, supplies of water and power, sewage system</w:t>
            </w:r>
          </w:p>
        </w:tc>
        <w:tc>
          <w:tcPr>
            <w:tcW w:w="2461" w:type="dxa"/>
          </w:tcPr>
          <w:p w14:paraId="00000327" w14:textId="77777777" w:rsidR="009F1887" w:rsidRDefault="009F1887">
            <w:pPr>
              <w:rPr>
                <w:b/>
              </w:rPr>
            </w:pPr>
          </w:p>
        </w:tc>
        <w:tc>
          <w:tcPr>
            <w:tcW w:w="4478" w:type="dxa"/>
          </w:tcPr>
          <w:p w14:paraId="00000328" w14:textId="77777777" w:rsidR="009F1887" w:rsidRDefault="009F1887">
            <w:pPr>
              <w:rPr>
                <w:b/>
              </w:rPr>
            </w:pPr>
          </w:p>
        </w:tc>
        <w:tc>
          <w:tcPr>
            <w:tcW w:w="1851" w:type="dxa"/>
          </w:tcPr>
          <w:p w14:paraId="00000329" w14:textId="77777777" w:rsidR="009F1887" w:rsidRDefault="009F1887">
            <w:pPr>
              <w:rPr>
                <w:b/>
              </w:rPr>
            </w:pPr>
          </w:p>
        </w:tc>
        <w:tc>
          <w:tcPr>
            <w:tcW w:w="1465" w:type="dxa"/>
          </w:tcPr>
          <w:p w14:paraId="0000032A" w14:textId="77777777" w:rsidR="009F1887" w:rsidRDefault="009F1887">
            <w:pPr>
              <w:rPr>
                <w:b/>
              </w:rPr>
            </w:pPr>
          </w:p>
        </w:tc>
        <w:tc>
          <w:tcPr>
            <w:tcW w:w="1410" w:type="dxa"/>
          </w:tcPr>
          <w:p w14:paraId="0000032B" w14:textId="77777777" w:rsidR="009F1887" w:rsidRDefault="009F1887">
            <w:pPr>
              <w:rPr>
                <w:b/>
              </w:rPr>
            </w:pPr>
          </w:p>
        </w:tc>
      </w:tr>
      <w:tr w:rsidR="009F1887" w14:paraId="67683867" w14:textId="77777777">
        <w:tc>
          <w:tcPr>
            <w:tcW w:w="2725" w:type="dxa"/>
          </w:tcPr>
          <w:p w14:paraId="0000032C" w14:textId="77777777" w:rsidR="009F1887" w:rsidRDefault="00790D5B">
            <w:pPr>
              <w:rPr>
                <w:b/>
              </w:rPr>
            </w:pPr>
            <w:r>
              <w:t>Identify the needs for acquisition of land and assets (e.g. acquiring existing assets such as hostel, stadium to hold potential patients)</w:t>
            </w:r>
          </w:p>
        </w:tc>
        <w:tc>
          <w:tcPr>
            <w:tcW w:w="2461" w:type="dxa"/>
          </w:tcPr>
          <w:p w14:paraId="0000032D" w14:textId="77777777" w:rsidR="009F1887" w:rsidRDefault="009F1887">
            <w:pPr>
              <w:rPr>
                <w:b/>
              </w:rPr>
            </w:pPr>
          </w:p>
        </w:tc>
        <w:tc>
          <w:tcPr>
            <w:tcW w:w="4478" w:type="dxa"/>
          </w:tcPr>
          <w:p w14:paraId="0000032E" w14:textId="77777777" w:rsidR="009F1887" w:rsidRDefault="009F1887">
            <w:pPr>
              <w:rPr>
                <w:b/>
              </w:rPr>
            </w:pPr>
          </w:p>
        </w:tc>
        <w:tc>
          <w:tcPr>
            <w:tcW w:w="1851" w:type="dxa"/>
          </w:tcPr>
          <w:p w14:paraId="0000032F" w14:textId="77777777" w:rsidR="009F1887" w:rsidRDefault="009F1887">
            <w:pPr>
              <w:rPr>
                <w:b/>
              </w:rPr>
            </w:pPr>
          </w:p>
        </w:tc>
        <w:tc>
          <w:tcPr>
            <w:tcW w:w="1465" w:type="dxa"/>
          </w:tcPr>
          <w:p w14:paraId="00000330" w14:textId="77777777" w:rsidR="009F1887" w:rsidRDefault="009F1887">
            <w:pPr>
              <w:rPr>
                <w:b/>
              </w:rPr>
            </w:pPr>
          </w:p>
        </w:tc>
        <w:tc>
          <w:tcPr>
            <w:tcW w:w="1410" w:type="dxa"/>
          </w:tcPr>
          <w:p w14:paraId="00000331" w14:textId="77777777" w:rsidR="009F1887" w:rsidRDefault="009F1887">
            <w:pPr>
              <w:rPr>
                <w:b/>
              </w:rPr>
            </w:pPr>
          </w:p>
        </w:tc>
      </w:tr>
      <w:tr w:rsidR="009F1887" w14:paraId="2448ABF9" w14:textId="77777777">
        <w:tc>
          <w:tcPr>
            <w:tcW w:w="2725" w:type="dxa"/>
          </w:tcPr>
          <w:p w14:paraId="00000332" w14:textId="77777777" w:rsidR="009F1887" w:rsidRDefault="00790D5B">
            <w:r>
              <w:t>Identify onsite and offsite waste management facilities, and waste transportation routes and service providers</w:t>
            </w:r>
          </w:p>
        </w:tc>
        <w:tc>
          <w:tcPr>
            <w:tcW w:w="2461" w:type="dxa"/>
          </w:tcPr>
          <w:p w14:paraId="00000333" w14:textId="77777777" w:rsidR="009F1887" w:rsidRDefault="00790D5B">
            <w:r>
              <w:t>Inadequate facilities and processes for treatment of waste</w:t>
            </w:r>
          </w:p>
          <w:p w14:paraId="00000334" w14:textId="77777777" w:rsidR="009F1887" w:rsidRDefault="009F1887"/>
          <w:p w14:paraId="00000335" w14:textId="77777777" w:rsidR="009F1887" w:rsidRDefault="009F1887"/>
          <w:p w14:paraId="00000336" w14:textId="77777777" w:rsidR="009F1887" w:rsidRDefault="009F1887"/>
          <w:p w14:paraId="00000337" w14:textId="77777777" w:rsidR="009F1887" w:rsidRDefault="009F1887"/>
          <w:p w14:paraId="00000338" w14:textId="77777777" w:rsidR="009F1887" w:rsidRDefault="009F1887"/>
          <w:p w14:paraId="00000339" w14:textId="77777777" w:rsidR="009F1887" w:rsidRDefault="009F1887"/>
          <w:p w14:paraId="0000033A" w14:textId="77777777" w:rsidR="009F1887" w:rsidRDefault="009F1887"/>
          <w:p w14:paraId="0000033B" w14:textId="77777777" w:rsidR="009F1887" w:rsidRDefault="009F1887"/>
          <w:p w14:paraId="0000033C" w14:textId="77777777" w:rsidR="009F1887" w:rsidRDefault="009F1887"/>
          <w:p w14:paraId="0000033D" w14:textId="77777777" w:rsidR="009F1887" w:rsidRDefault="009F1887"/>
          <w:p w14:paraId="0000033E" w14:textId="77777777" w:rsidR="009F1887" w:rsidRDefault="009F1887"/>
          <w:p w14:paraId="0000033F" w14:textId="77777777" w:rsidR="009F1887" w:rsidRDefault="009F1887">
            <w:pPr>
              <w:rPr>
                <w:b/>
              </w:rPr>
            </w:pPr>
          </w:p>
        </w:tc>
        <w:tc>
          <w:tcPr>
            <w:tcW w:w="4478" w:type="dxa"/>
          </w:tcPr>
          <w:p w14:paraId="00000340" w14:textId="77777777" w:rsidR="009F1887" w:rsidRDefault="00790D5B">
            <w:pPr>
              <w:numPr>
                <w:ilvl w:val="0"/>
                <w:numId w:val="61"/>
              </w:numPr>
              <w:pBdr>
                <w:top w:val="nil"/>
                <w:left w:val="nil"/>
                <w:bottom w:val="nil"/>
                <w:right w:val="nil"/>
                <w:between w:val="nil"/>
              </w:pBdr>
              <w:spacing w:line="276" w:lineRule="auto"/>
              <w:ind w:left="360"/>
              <w:jc w:val="both"/>
            </w:pPr>
            <w:r>
              <w:rPr>
                <w:rFonts w:ascii="Calibri" w:eastAsia="Calibri" w:hAnsi="Calibri" w:cs="Calibri"/>
                <w:color w:val="000000"/>
                <w:sz w:val="22"/>
                <w:szCs w:val="22"/>
              </w:rPr>
              <w:t>Estimate potential waste streams</w:t>
            </w:r>
          </w:p>
          <w:p w14:paraId="00000341" w14:textId="77777777" w:rsidR="009F1887" w:rsidRDefault="00790D5B">
            <w:pPr>
              <w:numPr>
                <w:ilvl w:val="0"/>
                <w:numId w:val="59"/>
              </w:numPr>
              <w:pBdr>
                <w:top w:val="nil"/>
                <w:left w:val="nil"/>
                <w:bottom w:val="nil"/>
                <w:right w:val="nil"/>
                <w:between w:val="nil"/>
              </w:pBdr>
              <w:spacing w:line="276" w:lineRule="auto"/>
              <w:ind w:left="360"/>
              <w:jc w:val="both"/>
            </w:pPr>
            <w:r>
              <w:rPr>
                <w:rFonts w:ascii="Calibri" w:eastAsia="Calibri" w:hAnsi="Calibri" w:cs="Calibri"/>
                <w:color w:val="000000"/>
                <w:sz w:val="22"/>
                <w:szCs w:val="22"/>
              </w:rPr>
              <w:t>Consider the capacity of existing facilities, and plan to increase capacity, if necessary, through construction, expansion etc.</w:t>
            </w:r>
          </w:p>
          <w:p w14:paraId="00000342" w14:textId="77777777" w:rsidR="009F1887" w:rsidRDefault="00790D5B">
            <w:pPr>
              <w:numPr>
                <w:ilvl w:val="0"/>
                <w:numId w:val="59"/>
              </w:numPr>
              <w:pBdr>
                <w:top w:val="nil"/>
                <w:left w:val="nil"/>
                <w:bottom w:val="nil"/>
                <w:right w:val="nil"/>
                <w:between w:val="nil"/>
              </w:pBdr>
              <w:spacing w:line="276" w:lineRule="auto"/>
              <w:ind w:left="360"/>
              <w:jc w:val="both"/>
            </w:pPr>
            <w:r>
              <w:rPr>
                <w:rFonts w:ascii="Calibri" w:eastAsia="Calibri" w:hAnsi="Calibri" w:cs="Calibri"/>
                <w:color w:val="000000"/>
                <w:sz w:val="22"/>
                <w:szCs w:val="22"/>
              </w:rPr>
              <w:t xml:space="preserve">Specify that the design of the facility considers the collection, segregation, transport and treatment of the anticipated volumes and types of healthcare wastes </w:t>
            </w:r>
          </w:p>
          <w:p w14:paraId="00000343" w14:textId="77777777" w:rsidR="009F1887" w:rsidRDefault="00790D5B">
            <w:pPr>
              <w:numPr>
                <w:ilvl w:val="0"/>
                <w:numId w:val="59"/>
              </w:numPr>
              <w:pBdr>
                <w:top w:val="nil"/>
                <w:left w:val="nil"/>
                <w:bottom w:val="nil"/>
                <w:right w:val="nil"/>
                <w:between w:val="nil"/>
              </w:pBdr>
              <w:spacing w:line="276" w:lineRule="auto"/>
              <w:ind w:left="360"/>
              <w:jc w:val="both"/>
            </w:pPr>
            <w:r>
              <w:rPr>
                <w:rFonts w:ascii="Calibri" w:eastAsia="Calibri" w:hAnsi="Calibri" w:cs="Calibri"/>
                <w:color w:val="000000"/>
                <w:sz w:val="22"/>
                <w:szCs w:val="22"/>
              </w:rPr>
              <w:t xml:space="preserve">Require that receptacles for waste should be sized appropriately for the waste volumes generated, and color coded and labeled according to the types of waste to be deposited.  </w:t>
            </w:r>
          </w:p>
          <w:p w14:paraId="00000344" w14:textId="77777777" w:rsidR="009F1887" w:rsidRDefault="00790D5B">
            <w:pPr>
              <w:pBdr>
                <w:top w:val="nil"/>
                <w:left w:val="nil"/>
                <w:bottom w:val="nil"/>
                <w:right w:val="nil"/>
                <w:between w:val="nil"/>
              </w:pBdr>
              <w:spacing w:after="200" w:line="276" w:lineRule="auto"/>
              <w:ind w:left="360"/>
              <w:jc w:val="both"/>
              <w:rPr>
                <w:rFonts w:ascii="Calibri" w:eastAsia="Calibri" w:hAnsi="Calibri" w:cs="Calibri"/>
                <w:color w:val="000000"/>
                <w:sz w:val="22"/>
                <w:szCs w:val="22"/>
              </w:rPr>
            </w:pPr>
            <w:r>
              <w:rPr>
                <w:rFonts w:ascii="Calibri" w:eastAsia="Calibri" w:hAnsi="Calibri" w:cs="Calibri"/>
                <w:color w:val="000000"/>
                <w:sz w:val="22"/>
                <w:szCs w:val="22"/>
              </w:rPr>
              <w:t>Develop appropriate protocols for the collection of waste and transportation to storage/disposal areas in accordance with WHO guidance.Design training for staff in the segregation of wastes at the time of use</w:t>
            </w:r>
          </w:p>
          <w:p w14:paraId="00000345" w14:textId="77777777" w:rsidR="009F1887" w:rsidRDefault="009F1887">
            <w:pPr>
              <w:rPr>
                <w:b/>
              </w:rPr>
            </w:pPr>
          </w:p>
        </w:tc>
        <w:tc>
          <w:tcPr>
            <w:tcW w:w="1851" w:type="dxa"/>
          </w:tcPr>
          <w:p w14:paraId="00000346" w14:textId="77777777" w:rsidR="009F1887" w:rsidRDefault="009F1887">
            <w:pPr>
              <w:rPr>
                <w:b/>
              </w:rPr>
            </w:pPr>
          </w:p>
        </w:tc>
        <w:tc>
          <w:tcPr>
            <w:tcW w:w="1465" w:type="dxa"/>
          </w:tcPr>
          <w:p w14:paraId="00000347" w14:textId="77777777" w:rsidR="009F1887" w:rsidRDefault="009F1887">
            <w:pPr>
              <w:rPr>
                <w:b/>
              </w:rPr>
            </w:pPr>
          </w:p>
        </w:tc>
        <w:tc>
          <w:tcPr>
            <w:tcW w:w="1410" w:type="dxa"/>
          </w:tcPr>
          <w:p w14:paraId="00000348" w14:textId="77777777" w:rsidR="009F1887" w:rsidRDefault="009F1887">
            <w:pPr>
              <w:rPr>
                <w:b/>
              </w:rPr>
            </w:pPr>
          </w:p>
        </w:tc>
      </w:tr>
      <w:tr w:rsidR="009F1887" w14:paraId="12FA4028" w14:textId="77777777">
        <w:tc>
          <w:tcPr>
            <w:tcW w:w="2725" w:type="dxa"/>
          </w:tcPr>
          <w:p w14:paraId="00000349" w14:textId="77777777" w:rsidR="009F1887" w:rsidRDefault="00790D5B">
            <w:r>
              <w:t>Identify needs for transboundary movement of samples, specimen, reagent, and other hazardous materials</w:t>
            </w:r>
          </w:p>
        </w:tc>
        <w:tc>
          <w:tcPr>
            <w:tcW w:w="2461" w:type="dxa"/>
          </w:tcPr>
          <w:p w14:paraId="0000034A" w14:textId="77777777" w:rsidR="009F1887" w:rsidRDefault="009F1887">
            <w:pPr>
              <w:rPr>
                <w:b/>
              </w:rPr>
            </w:pPr>
          </w:p>
        </w:tc>
        <w:tc>
          <w:tcPr>
            <w:tcW w:w="4478" w:type="dxa"/>
          </w:tcPr>
          <w:p w14:paraId="0000034B" w14:textId="77777777" w:rsidR="009F1887" w:rsidRDefault="009F1887">
            <w:pPr>
              <w:rPr>
                <w:b/>
              </w:rPr>
            </w:pPr>
          </w:p>
        </w:tc>
        <w:tc>
          <w:tcPr>
            <w:tcW w:w="1851" w:type="dxa"/>
          </w:tcPr>
          <w:p w14:paraId="0000034C" w14:textId="77777777" w:rsidR="009F1887" w:rsidRDefault="009F1887">
            <w:pPr>
              <w:rPr>
                <w:b/>
              </w:rPr>
            </w:pPr>
          </w:p>
        </w:tc>
        <w:tc>
          <w:tcPr>
            <w:tcW w:w="1465" w:type="dxa"/>
          </w:tcPr>
          <w:p w14:paraId="0000034D" w14:textId="77777777" w:rsidR="009F1887" w:rsidRDefault="009F1887">
            <w:pPr>
              <w:rPr>
                <w:b/>
              </w:rPr>
            </w:pPr>
          </w:p>
        </w:tc>
        <w:tc>
          <w:tcPr>
            <w:tcW w:w="1410" w:type="dxa"/>
          </w:tcPr>
          <w:p w14:paraId="0000034E" w14:textId="77777777" w:rsidR="009F1887" w:rsidRDefault="009F1887">
            <w:pPr>
              <w:rPr>
                <w:b/>
              </w:rPr>
            </w:pPr>
          </w:p>
        </w:tc>
      </w:tr>
      <w:tr w:rsidR="009F1887" w14:paraId="257C0A10" w14:textId="77777777">
        <w:tc>
          <w:tcPr>
            <w:tcW w:w="2725" w:type="dxa"/>
          </w:tcPr>
          <w:p w14:paraId="0000034F" w14:textId="77777777" w:rsidR="009F1887" w:rsidRDefault="00790D5B">
            <w:r>
              <w:t>Identify needs for workforce and type of project workers</w:t>
            </w:r>
          </w:p>
        </w:tc>
        <w:tc>
          <w:tcPr>
            <w:tcW w:w="2461" w:type="dxa"/>
          </w:tcPr>
          <w:p w14:paraId="00000350" w14:textId="77777777" w:rsidR="009F1887" w:rsidRDefault="009F1887">
            <w:pPr>
              <w:rPr>
                <w:b/>
              </w:rPr>
            </w:pPr>
          </w:p>
        </w:tc>
        <w:tc>
          <w:tcPr>
            <w:tcW w:w="4478" w:type="dxa"/>
          </w:tcPr>
          <w:p w14:paraId="00000351" w14:textId="77777777" w:rsidR="009F1887" w:rsidRDefault="00790D5B">
            <w:pPr>
              <w:numPr>
                <w:ilvl w:val="0"/>
                <w:numId w:val="13"/>
              </w:numPr>
              <w:pBdr>
                <w:top w:val="nil"/>
                <w:left w:val="nil"/>
                <w:bottom w:val="nil"/>
                <w:right w:val="nil"/>
                <w:between w:val="nil"/>
              </w:pBdr>
              <w:spacing w:line="276" w:lineRule="auto"/>
            </w:pPr>
            <w:r>
              <w:rPr>
                <w:rFonts w:ascii="Calibri" w:eastAsia="Calibri" w:hAnsi="Calibri" w:cs="Calibri"/>
                <w:color w:val="000000"/>
                <w:sz w:val="22"/>
                <w:szCs w:val="22"/>
              </w:rPr>
              <w:t>Identify numbers and types of workers</w:t>
            </w:r>
          </w:p>
          <w:p w14:paraId="00000352" w14:textId="77777777" w:rsidR="009F1887" w:rsidRDefault="00790D5B">
            <w:pPr>
              <w:numPr>
                <w:ilvl w:val="0"/>
                <w:numId w:val="13"/>
              </w:numPr>
              <w:pBdr>
                <w:top w:val="nil"/>
                <w:left w:val="nil"/>
                <w:bottom w:val="nil"/>
                <w:right w:val="nil"/>
                <w:between w:val="nil"/>
              </w:pBdr>
              <w:spacing w:line="276" w:lineRule="auto"/>
            </w:pPr>
            <w:r>
              <w:rPr>
                <w:rFonts w:ascii="Calibri" w:eastAsia="Calibri" w:hAnsi="Calibri" w:cs="Calibri"/>
                <w:color w:val="000000"/>
                <w:sz w:val="22"/>
                <w:szCs w:val="22"/>
              </w:rPr>
              <w:t>Consider accommodation and measures to minimize cross infection</w:t>
            </w:r>
          </w:p>
          <w:p w14:paraId="00000353" w14:textId="77777777" w:rsidR="009F1887" w:rsidRDefault="00790D5B">
            <w:pPr>
              <w:numPr>
                <w:ilvl w:val="0"/>
                <w:numId w:val="13"/>
              </w:numPr>
              <w:pBdr>
                <w:top w:val="nil"/>
                <w:left w:val="nil"/>
                <w:bottom w:val="nil"/>
                <w:right w:val="nil"/>
                <w:between w:val="nil"/>
              </w:pBdr>
              <w:spacing w:after="200" w:line="276" w:lineRule="auto"/>
            </w:pPr>
            <w:r>
              <w:rPr>
                <w:rFonts w:ascii="Calibri" w:eastAsia="Calibri" w:hAnsi="Calibri" w:cs="Calibri"/>
                <w:color w:val="000000"/>
                <w:sz w:val="22"/>
                <w:szCs w:val="22"/>
              </w:rPr>
              <w:lastRenderedPageBreak/>
              <w:t>Use the COVID-19 LMP template to identify possible mitigation measures</w:t>
            </w:r>
          </w:p>
        </w:tc>
        <w:tc>
          <w:tcPr>
            <w:tcW w:w="1851" w:type="dxa"/>
          </w:tcPr>
          <w:p w14:paraId="00000354" w14:textId="77777777" w:rsidR="009F1887" w:rsidRDefault="009F1887">
            <w:pPr>
              <w:rPr>
                <w:b/>
              </w:rPr>
            </w:pPr>
          </w:p>
        </w:tc>
        <w:tc>
          <w:tcPr>
            <w:tcW w:w="1465" w:type="dxa"/>
          </w:tcPr>
          <w:p w14:paraId="00000355" w14:textId="77777777" w:rsidR="009F1887" w:rsidRDefault="009F1887">
            <w:pPr>
              <w:rPr>
                <w:b/>
              </w:rPr>
            </w:pPr>
          </w:p>
        </w:tc>
        <w:tc>
          <w:tcPr>
            <w:tcW w:w="1410" w:type="dxa"/>
          </w:tcPr>
          <w:p w14:paraId="00000356" w14:textId="77777777" w:rsidR="009F1887" w:rsidRDefault="009F1887">
            <w:pPr>
              <w:rPr>
                <w:b/>
              </w:rPr>
            </w:pPr>
          </w:p>
        </w:tc>
      </w:tr>
      <w:tr w:rsidR="009F1887" w14:paraId="229ABEE3" w14:textId="77777777">
        <w:tc>
          <w:tcPr>
            <w:tcW w:w="2725" w:type="dxa"/>
          </w:tcPr>
          <w:p w14:paraId="00000357" w14:textId="77777777" w:rsidR="009F1887" w:rsidRDefault="00790D5B">
            <w:r>
              <w:t>Identify needs for using security personnel during construction and/or operation of HCF</w:t>
            </w:r>
          </w:p>
        </w:tc>
        <w:tc>
          <w:tcPr>
            <w:tcW w:w="2461" w:type="dxa"/>
          </w:tcPr>
          <w:p w14:paraId="00000358" w14:textId="77777777" w:rsidR="009F1887" w:rsidRDefault="009F1887">
            <w:pPr>
              <w:rPr>
                <w:b/>
              </w:rPr>
            </w:pPr>
          </w:p>
        </w:tc>
        <w:tc>
          <w:tcPr>
            <w:tcW w:w="4478" w:type="dxa"/>
          </w:tcPr>
          <w:p w14:paraId="00000359" w14:textId="77777777" w:rsidR="009F1887" w:rsidRDefault="009F1887">
            <w:pPr>
              <w:rPr>
                <w:b/>
              </w:rPr>
            </w:pPr>
          </w:p>
        </w:tc>
        <w:tc>
          <w:tcPr>
            <w:tcW w:w="1851" w:type="dxa"/>
          </w:tcPr>
          <w:p w14:paraId="0000035A" w14:textId="77777777" w:rsidR="009F1887" w:rsidRDefault="009F1887">
            <w:pPr>
              <w:rPr>
                <w:b/>
              </w:rPr>
            </w:pPr>
          </w:p>
        </w:tc>
        <w:tc>
          <w:tcPr>
            <w:tcW w:w="1465" w:type="dxa"/>
          </w:tcPr>
          <w:p w14:paraId="0000035B" w14:textId="77777777" w:rsidR="009F1887" w:rsidRDefault="009F1887">
            <w:pPr>
              <w:rPr>
                <w:b/>
              </w:rPr>
            </w:pPr>
          </w:p>
        </w:tc>
        <w:tc>
          <w:tcPr>
            <w:tcW w:w="1410" w:type="dxa"/>
          </w:tcPr>
          <w:p w14:paraId="0000035C" w14:textId="77777777" w:rsidR="009F1887" w:rsidRDefault="009F1887">
            <w:pPr>
              <w:rPr>
                <w:b/>
              </w:rPr>
            </w:pPr>
          </w:p>
        </w:tc>
      </w:tr>
      <w:tr w:rsidR="009F1887" w14:paraId="2599D159" w14:textId="77777777">
        <w:tc>
          <w:tcPr>
            <w:tcW w:w="2725" w:type="dxa"/>
          </w:tcPr>
          <w:p w14:paraId="0000035D" w14:textId="77777777" w:rsidR="009F1887" w:rsidRDefault="00790D5B">
            <w:r>
              <w:t>HCF design – general</w:t>
            </w:r>
          </w:p>
        </w:tc>
        <w:tc>
          <w:tcPr>
            <w:tcW w:w="2461" w:type="dxa"/>
          </w:tcPr>
          <w:p w14:paraId="0000035E" w14:textId="77777777" w:rsidR="009F1887" w:rsidRDefault="00790D5B">
            <w:pPr>
              <w:numPr>
                <w:ilvl w:val="0"/>
                <w:numId w:val="2"/>
              </w:numPr>
              <w:pBdr>
                <w:top w:val="nil"/>
                <w:left w:val="nil"/>
                <w:bottom w:val="nil"/>
                <w:right w:val="nil"/>
                <w:between w:val="nil"/>
              </w:pBdr>
              <w:spacing w:line="276" w:lineRule="auto"/>
            </w:pPr>
            <w:r>
              <w:rPr>
                <w:rFonts w:ascii="Calibri" w:eastAsia="Calibri" w:hAnsi="Calibri" w:cs="Calibri"/>
                <w:color w:val="000000"/>
                <w:sz w:val="22"/>
                <w:szCs w:val="22"/>
              </w:rPr>
              <w:t xml:space="preserve">Structural safety risk; </w:t>
            </w:r>
          </w:p>
          <w:p w14:paraId="0000035F" w14:textId="77777777" w:rsidR="009F1887" w:rsidRDefault="00790D5B">
            <w:pPr>
              <w:numPr>
                <w:ilvl w:val="0"/>
                <w:numId w:val="2"/>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Functional layout and engineering control for nosocomial infection </w:t>
            </w:r>
          </w:p>
        </w:tc>
        <w:tc>
          <w:tcPr>
            <w:tcW w:w="4478" w:type="dxa"/>
          </w:tcPr>
          <w:p w14:paraId="00000360" w14:textId="77777777" w:rsidR="009F1887" w:rsidRDefault="009F1887">
            <w:pPr>
              <w:rPr>
                <w:b/>
              </w:rPr>
            </w:pPr>
          </w:p>
        </w:tc>
        <w:tc>
          <w:tcPr>
            <w:tcW w:w="1851" w:type="dxa"/>
          </w:tcPr>
          <w:p w14:paraId="00000361" w14:textId="77777777" w:rsidR="009F1887" w:rsidRDefault="009F1887">
            <w:pPr>
              <w:rPr>
                <w:b/>
              </w:rPr>
            </w:pPr>
          </w:p>
        </w:tc>
        <w:tc>
          <w:tcPr>
            <w:tcW w:w="1465" w:type="dxa"/>
          </w:tcPr>
          <w:p w14:paraId="00000362" w14:textId="77777777" w:rsidR="009F1887" w:rsidRDefault="009F1887">
            <w:pPr>
              <w:rPr>
                <w:b/>
              </w:rPr>
            </w:pPr>
          </w:p>
        </w:tc>
        <w:tc>
          <w:tcPr>
            <w:tcW w:w="1410" w:type="dxa"/>
          </w:tcPr>
          <w:p w14:paraId="00000363" w14:textId="77777777" w:rsidR="009F1887" w:rsidRDefault="009F1887">
            <w:pPr>
              <w:rPr>
                <w:b/>
              </w:rPr>
            </w:pPr>
          </w:p>
        </w:tc>
      </w:tr>
      <w:tr w:rsidR="009F1887" w14:paraId="190116BB" w14:textId="77777777">
        <w:tc>
          <w:tcPr>
            <w:tcW w:w="2725" w:type="dxa"/>
          </w:tcPr>
          <w:p w14:paraId="00000364" w14:textId="77777777" w:rsidR="009F1887" w:rsidRDefault="00790D5B">
            <w:r>
              <w:t>HCF design - considerations for differentiated treatment for groups of higher sensitivity or vulnerable (the elderly, those with preexisting conditions, or the very young) and those with disabilities</w:t>
            </w:r>
          </w:p>
        </w:tc>
        <w:tc>
          <w:tcPr>
            <w:tcW w:w="2461" w:type="dxa"/>
          </w:tcPr>
          <w:p w14:paraId="00000365" w14:textId="77777777" w:rsidR="009F1887" w:rsidRDefault="00790D5B">
            <w:pPr>
              <w:rPr>
                <w:b/>
              </w:rPr>
            </w:pPr>
            <w:r>
              <w:t>Some groups may have difficulty accessing health facilities</w:t>
            </w:r>
          </w:p>
        </w:tc>
        <w:tc>
          <w:tcPr>
            <w:tcW w:w="4478" w:type="dxa"/>
          </w:tcPr>
          <w:p w14:paraId="00000366" w14:textId="77777777" w:rsidR="009F1887" w:rsidRDefault="009F1887">
            <w:pPr>
              <w:rPr>
                <w:b/>
              </w:rPr>
            </w:pPr>
          </w:p>
        </w:tc>
        <w:tc>
          <w:tcPr>
            <w:tcW w:w="1851" w:type="dxa"/>
          </w:tcPr>
          <w:p w14:paraId="00000367" w14:textId="77777777" w:rsidR="009F1887" w:rsidRDefault="009F1887">
            <w:pPr>
              <w:rPr>
                <w:b/>
              </w:rPr>
            </w:pPr>
          </w:p>
        </w:tc>
        <w:tc>
          <w:tcPr>
            <w:tcW w:w="1465" w:type="dxa"/>
          </w:tcPr>
          <w:p w14:paraId="00000368" w14:textId="77777777" w:rsidR="009F1887" w:rsidRDefault="009F1887">
            <w:pPr>
              <w:rPr>
                <w:b/>
              </w:rPr>
            </w:pPr>
          </w:p>
        </w:tc>
        <w:tc>
          <w:tcPr>
            <w:tcW w:w="1410" w:type="dxa"/>
          </w:tcPr>
          <w:p w14:paraId="00000369" w14:textId="77777777" w:rsidR="009F1887" w:rsidRDefault="009F1887">
            <w:pPr>
              <w:rPr>
                <w:b/>
              </w:rPr>
            </w:pPr>
          </w:p>
        </w:tc>
      </w:tr>
      <w:tr w:rsidR="009F1887" w14:paraId="59D1BDC7" w14:textId="77777777">
        <w:tc>
          <w:tcPr>
            <w:tcW w:w="2725" w:type="dxa"/>
          </w:tcPr>
          <w:p w14:paraId="0000036A" w14:textId="77777777" w:rsidR="009F1887" w:rsidRDefault="00790D5B">
            <w:r>
              <w:t>Design of facility should reflect specific treatment requirements, including triage, isolation or quarantine</w:t>
            </w:r>
          </w:p>
        </w:tc>
        <w:tc>
          <w:tcPr>
            <w:tcW w:w="2461" w:type="dxa"/>
          </w:tcPr>
          <w:p w14:paraId="0000036B" w14:textId="77777777" w:rsidR="009F1887" w:rsidRDefault="009F1887">
            <w:pPr>
              <w:rPr>
                <w:b/>
              </w:rPr>
            </w:pPr>
          </w:p>
        </w:tc>
        <w:tc>
          <w:tcPr>
            <w:tcW w:w="4478" w:type="dxa"/>
          </w:tcPr>
          <w:p w14:paraId="0000036C" w14:textId="77777777" w:rsidR="009F1887" w:rsidRDefault="00790D5B">
            <w:pPr>
              <w:numPr>
                <w:ilvl w:val="0"/>
                <w:numId w:val="64"/>
              </w:numPr>
              <w:pBdr>
                <w:top w:val="nil"/>
                <w:left w:val="nil"/>
                <w:bottom w:val="nil"/>
                <w:right w:val="nil"/>
                <w:between w:val="nil"/>
              </w:pBdr>
              <w:spacing w:line="276" w:lineRule="auto"/>
            </w:pPr>
            <w:r>
              <w:rPr>
                <w:rFonts w:ascii="Calibri" w:eastAsia="Calibri" w:hAnsi="Calibri" w:cs="Calibri"/>
                <w:color w:val="000000"/>
                <w:sz w:val="22"/>
                <w:szCs w:val="22"/>
              </w:rPr>
              <w:t xml:space="preserve">The design, set up and management of will take into account the advice provided by WHO guidance for </w:t>
            </w:r>
            <w:hyperlink r:id="rId44">
              <w:r>
                <w:rPr>
                  <w:rFonts w:ascii="Calibri" w:eastAsia="Calibri" w:hAnsi="Calibri" w:cs="Calibri"/>
                  <w:color w:val="0000FF"/>
                  <w:sz w:val="22"/>
                  <w:szCs w:val="22"/>
                  <w:u w:val="single"/>
                </w:rPr>
                <w:t>Severe Acute Respiratory Infections Treatment Center</w:t>
              </w:r>
            </w:hyperlink>
            <w:r>
              <w:rPr>
                <w:rFonts w:ascii="Calibri" w:eastAsia="Calibri" w:hAnsi="Calibri" w:cs="Calibri"/>
                <w:color w:val="000000"/>
                <w:sz w:val="22"/>
                <w:szCs w:val="22"/>
              </w:rPr>
              <w:t xml:space="preserve">.  </w:t>
            </w:r>
          </w:p>
          <w:p w14:paraId="0000036D" w14:textId="77777777" w:rsidR="009F1887" w:rsidRDefault="00790D5B">
            <w:pPr>
              <w:numPr>
                <w:ilvl w:val="0"/>
                <w:numId w:val="64"/>
              </w:numPr>
              <w:pBdr>
                <w:top w:val="nil"/>
                <w:left w:val="nil"/>
                <w:bottom w:val="nil"/>
                <w:right w:val="nil"/>
                <w:between w:val="nil"/>
              </w:pBdr>
              <w:spacing w:line="276" w:lineRule="auto"/>
            </w:pPr>
            <w:r>
              <w:rPr>
                <w:rFonts w:ascii="Calibri" w:eastAsia="Calibri" w:hAnsi="Calibri" w:cs="Calibri"/>
                <w:color w:val="000000"/>
                <w:sz w:val="22"/>
                <w:szCs w:val="22"/>
              </w:rPr>
              <w:t xml:space="preserve">Hand washing facilities should be provided at the entrances to health care facilities in line with WHO </w:t>
            </w:r>
            <w:hyperlink r:id="rId45">
              <w:r>
                <w:rPr>
                  <w:rFonts w:ascii="Calibri" w:eastAsia="Calibri" w:hAnsi="Calibri" w:cs="Calibri"/>
                  <w:color w:val="0000FF"/>
                  <w:sz w:val="22"/>
                  <w:szCs w:val="22"/>
                  <w:u w:val="single"/>
                </w:rPr>
                <w:t>Recommendations to Member States to Improve Hygiene Practices</w:t>
              </w:r>
            </w:hyperlink>
            <w:r>
              <w:rPr>
                <w:rFonts w:ascii="Calibri" w:eastAsia="Calibri" w:hAnsi="Calibri" w:cs="Calibri"/>
                <w:color w:val="000000"/>
                <w:sz w:val="22"/>
                <w:szCs w:val="22"/>
              </w:rPr>
              <w:t xml:space="preserve">. </w:t>
            </w:r>
          </w:p>
          <w:p w14:paraId="0000036E" w14:textId="77777777" w:rsidR="009F1887" w:rsidRDefault="00790D5B">
            <w:pPr>
              <w:numPr>
                <w:ilvl w:val="0"/>
                <w:numId w:val="64"/>
              </w:numPr>
              <w:pBdr>
                <w:top w:val="nil"/>
                <w:left w:val="nil"/>
                <w:bottom w:val="nil"/>
                <w:right w:val="nil"/>
                <w:between w:val="nil"/>
              </w:pBdr>
              <w:spacing w:line="276" w:lineRule="auto"/>
            </w:pPr>
            <w:r>
              <w:rPr>
                <w:rFonts w:ascii="Calibri" w:eastAsia="Calibri" w:hAnsi="Calibri" w:cs="Calibri"/>
                <w:color w:val="000000"/>
                <w:sz w:val="22"/>
                <w:szCs w:val="22"/>
              </w:rPr>
              <w:t xml:space="preserve">Isolation rooms should be provided and used at medical facilities for patients with possible or confirmed COVID-19.  </w:t>
            </w:r>
          </w:p>
          <w:p w14:paraId="0000036F" w14:textId="77777777" w:rsidR="009F1887" w:rsidRDefault="00790D5B">
            <w:pPr>
              <w:numPr>
                <w:ilvl w:val="0"/>
                <w:numId w:val="64"/>
              </w:numPr>
              <w:pBdr>
                <w:top w:val="nil"/>
                <w:left w:val="nil"/>
                <w:bottom w:val="nil"/>
                <w:right w:val="nil"/>
                <w:between w:val="nil"/>
              </w:pBdr>
              <w:spacing w:line="276" w:lineRule="auto"/>
            </w:pPr>
            <w:r>
              <w:rPr>
                <w:rFonts w:ascii="Calibri" w:eastAsia="Calibri" w:hAnsi="Calibri" w:cs="Calibri"/>
                <w:color w:val="000000"/>
                <w:sz w:val="22"/>
                <w:szCs w:val="22"/>
              </w:rPr>
              <w:t xml:space="preserve">Isolation rooms should: </w:t>
            </w:r>
          </w:p>
          <w:p w14:paraId="00000370" w14:textId="77777777" w:rsidR="009F1887" w:rsidRDefault="00790D5B">
            <w:pPr>
              <w:numPr>
                <w:ilvl w:val="0"/>
                <w:numId w:val="63"/>
              </w:numPr>
              <w:pBdr>
                <w:top w:val="nil"/>
                <w:left w:val="nil"/>
                <w:bottom w:val="nil"/>
                <w:right w:val="nil"/>
                <w:between w:val="nil"/>
              </w:pBdr>
              <w:spacing w:line="276" w:lineRule="auto"/>
              <w:ind w:left="434"/>
            </w:pPr>
            <w:r>
              <w:rPr>
                <w:rFonts w:ascii="Calibri" w:eastAsia="Calibri" w:hAnsi="Calibri" w:cs="Calibri"/>
                <w:color w:val="000000"/>
                <w:sz w:val="22"/>
                <w:szCs w:val="22"/>
              </w:rPr>
              <w:t>be single rooms with attached bathrooms (or with a dedicated commode);</w:t>
            </w:r>
          </w:p>
          <w:p w14:paraId="00000371" w14:textId="77777777" w:rsidR="009F1887" w:rsidRDefault="00790D5B">
            <w:pPr>
              <w:numPr>
                <w:ilvl w:val="0"/>
                <w:numId w:val="63"/>
              </w:numPr>
              <w:pBdr>
                <w:top w:val="nil"/>
                <w:left w:val="nil"/>
                <w:bottom w:val="nil"/>
                <w:right w:val="nil"/>
                <w:between w:val="nil"/>
              </w:pBdr>
              <w:spacing w:line="276" w:lineRule="auto"/>
              <w:ind w:left="434"/>
            </w:pPr>
            <w:r>
              <w:rPr>
                <w:rFonts w:ascii="Calibri" w:eastAsia="Calibri" w:hAnsi="Calibri" w:cs="Calibri"/>
                <w:color w:val="000000"/>
                <w:sz w:val="22"/>
                <w:szCs w:val="22"/>
              </w:rPr>
              <w:t>ideally be under negative pressure (neutral pressure may be used, but positive pressure rooms should be avoided)</w:t>
            </w:r>
          </w:p>
          <w:p w14:paraId="00000372" w14:textId="77777777" w:rsidR="009F1887" w:rsidRDefault="00790D5B">
            <w:pPr>
              <w:numPr>
                <w:ilvl w:val="0"/>
                <w:numId w:val="63"/>
              </w:numPr>
              <w:pBdr>
                <w:top w:val="nil"/>
                <w:left w:val="nil"/>
                <w:bottom w:val="nil"/>
                <w:right w:val="nil"/>
                <w:between w:val="nil"/>
              </w:pBdr>
              <w:spacing w:line="276" w:lineRule="auto"/>
              <w:ind w:left="434"/>
            </w:pPr>
            <w:r>
              <w:rPr>
                <w:rFonts w:ascii="Calibri" w:eastAsia="Calibri" w:hAnsi="Calibri" w:cs="Calibri"/>
                <w:color w:val="000000"/>
                <w:sz w:val="22"/>
                <w:szCs w:val="22"/>
              </w:rPr>
              <w:t xml:space="preserve">be sited away from busy areas or close to vulnerable or high-risk patients, to minimize chances of infection spread; </w:t>
            </w:r>
          </w:p>
          <w:p w14:paraId="00000373" w14:textId="77777777" w:rsidR="009F1887" w:rsidRDefault="00790D5B">
            <w:pPr>
              <w:numPr>
                <w:ilvl w:val="0"/>
                <w:numId w:val="63"/>
              </w:numPr>
              <w:pBdr>
                <w:top w:val="nil"/>
                <w:left w:val="nil"/>
                <w:bottom w:val="nil"/>
                <w:right w:val="nil"/>
                <w:between w:val="nil"/>
              </w:pBdr>
              <w:spacing w:line="276" w:lineRule="auto"/>
              <w:ind w:left="434"/>
            </w:pPr>
            <w:r>
              <w:rPr>
                <w:rFonts w:ascii="Calibri" w:eastAsia="Calibri" w:hAnsi="Calibri" w:cs="Calibri"/>
                <w:color w:val="000000"/>
                <w:sz w:val="22"/>
                <w:szCs w:val="22"/>
              </w:rPr>
              <w:t>have dedicated equipment (for example blood pressure machine, peak flow meter and stethoscope</w:t>
            </w:r>
          </w:p>
          <w:p w14:paraId="00000374" w14:textId="77777777" w:rsidR="009F1887" w:rsidRDefault="00790D5B">
            <w:pPr>
              <w:numPr>
                <w:ilvl w:val="0"/>
                <w:numId w:val="63"/>
              </w:numPr>
              <w:pBdr>
                <w:top w:val="nil"/>
                <w:left w:val="nil"/>
                <w:bottom w:val="nil"/>
                <w:right w:val="nil"/>
                <w:between w:val="nil"/>
              </w:pBdr>
              <w:spacing w:after="200" w:line="276" w:lineRule="auto"/>
              <w:ind w:left="434"/>
            </w:pPr>
            <w:r>
              <w:rPr>
                <w:rFonts w:ascii="Calibri" w:eastAsia="Calibri" w:hAnsi="Calibri" w:cs="Calibri"/>
                <w:color w:val="000000"/>
                <w:sz w:val="22"/>
                <w:szCs w:val="22"/>
              </w:rPr>
              <w:lastRenderedPageBreak/>
              <w:t xml:space="preserve">have signs on doors to control entry to the room, with the door kept closed;  </w:t>
            </w:r>
          </w:p>
          <w:p w14:paraId="00000375" w14:textId="77777777" w:rsidR="009F1887" w:rsidRDefault="00790D5B">
            <w:pPr>
              <w:rPr>
                <w:b/>
              </w:rPr>
            </w:pPr>
            <w:r>
              <w:t xml:space="preserve">have an ante-room for staff to put on and take off PPE and to wash/decontaminate before and after providing treatment. </w:t>
            </w:r>
          </w:p>
        </w:tc>
        <w:tc>
          <w:tcPr>
            <w:tcW w:w="1851" w:type="dxa"/>
          </w:tcPr>
          <w:p w14:paraId="00000376" w14:textId="77777777" w:rsidR="009F1887" w:rsidRDefault="009F1887">
            <w:pPr>
              <w:rPr>
                <w:b/>
              </w:rPr>
            </w:pPr>
          </w:p>
        </w:tc>
        <w:tc>
          <w:tcPr>
            <w:tcW w:w="1465" w:type="dxa"/>
          </w:tcPr>
          <w:p w14:paraId="00000377" w14:textId="77777777" w:rsidR="009F1887" w:rsidRDefault="009F1887">
            <w:pPr>
              <w:rPr>
                <w:b/>
              </w:rPr>
            </w:pPr>
          </w:p>
        </w:tc>
        <w:tc>
          <w:tcPr>
            <w:tcW w:w="1410" w:type="dxa"/>
          </w:tcPr>
          <w:p w14:paraId="00000378" w14:textId="77777777" w:rsidR="009F1887" w:rsidRDefault="009F1887">
            <w:pPr>
              <w:rPr>
                <w:b/>
              </w:rPr>
            </w:pPr>
          </w:p>
        </w:tc>
      </w:tr>
      <w:tr w:rsidR="009F1887" w14:paraId="5E6A5DD2" w14:textId="77777777">
        <w:tc>
          <w:tcPr>
            <w:tcW w:w="2725" w:type="dxa"/>
          </w:tcPr>
          <w:p w14:paraId="00000379" w14:textId="77777777" w:rsidR="009F1887" w:rsidRDefault="00790D5B">
            <w:r>
              <w:t>Design to consider mortuary arrangements</w:t>
            </w:r>
          </w:p>
        </w:tc>
        <w:tc>
          <w:tcPr>
            <w:tcW w:w="2461" w:type="dxa"/>
          </w:tcPr>
          <w:p w14:paraId="0000037A" w14:textId="77777777" w:rsidR="009F1887" w:rsidRDefault="00790D5B">
            <w:r>
              <w:t>Insufficient capacity</w:t>
            </w:r>
          </w:p>
          <w:p w14:paraId="0000037B" w14:textId="77777777" w:rsidR="009F1887" w:rsidRDefault="00790D5B">
            <w:r>
              <w:t>Spread of infection</w:t>
            </w:r>
          </w:p>
          <w:p w14:paraId="0000037C" w14:textId="77777777" w:rsidR="009F1887" w:rsidRDefault="009F1887">
            <w:pPr>
              <w:rPr>
                <w:b/>
              </w:rPr>
            </w:pPr>
          </w:p>
        </w:tc>
        <w:tc>
          <w:tcPr>
            <w:tcW w:w="4478" w:type="dxa"/>
          </w:tcPr>
          <w:p w14:paraId="0000037D" w14:textId="77777777" w:rsidR="009F1887" w:rsidRDefault="00790D5B">
            <w:pPr>
              <w:numPr>
                <w:ilvl w:val="0"/>
                <w:numId w:val="12"/>
              </w:numPr>
              <w:pBdr>
                <w:top w:val="nil"/>
                <w:left w:val="nil"/>
                <w:bottom w:val="nil"/>
                <w:right w:val="nil"/>
                <w:between w:val="nil"/>
              </w:pBdr>
              <w:spacing w:line="276" w:lineRule="auto"/>
              <w:jc w:val="both"/>
            </w:pPr>
            <w:r>
              <w:rPr>
                <w:rFonts w:ascii="Calibri" w:eastAsia="Calibri" w:hAnsi="Calibri" w:cs="Calibri"/>
                <w:color w:val="000000"/>
                <w:sz w:val="22"/>
                <w:szCs w:val="22"/>
              </w:rPr>
              <w:t>Include adequate mortuary arrangements in the design</w:t>
            </w:r>
          </w:p>
          <w:p w14:paraId="0000037E" w14:textId="77777777" w:rsidR="009F1887" w:rsidRDefault="00790D5B">
            <w:pPr>
              <w:numPr>
                <w:ilvl w:val="0"/>
                <w:numId w:val="12"/>
              </w:numPr>
              <w:pBdr>
                <w:top w:val="nil"/>
                <w:left w:val="nil"/>
                <w:bottom w:val="nil"/>
                <w:right w:val="nil"/>
                <w:between w:val="nil"/>
              </w:pBdr>
              <w:spacing w:after="200" w:line="276" w:lineRule="auto"/>
              <w:jc w:val="both"/>
            </w:pPr>
            <w:r>
              <w:rPr>
                <w:rFonts w:ascii="Calibri" w:eastAsia="Calibri" w:hAnsi="Calibri" w:cs="Calibri"/>
                <w:color w:val="000000"/>
                <w:sz w:val="22"/>
                <w:szCs w:val="22"/>
              </w:rPr>
              <w:t xml:space="preserve">See </w:t>
            </w:r>
            <w:hyperlink r:id="rId46">
              <w:r>
                <w:rPr>
                  <w:rFonts w:ascii="Calibri" w:eastAsia="Calibri" w:hAnsi="Calibri" w:cs="Calibri"/>
                  <w:color w:val="0000FF"/>
                  <w:sz w:val="22"/>
                  <w:szCs w:val="22"/>
                  <w:u w:val="single"/>
                </w:rPr>
                <w:t>WHO Infection Prevention and Control for the safe management of a dead body in the context of COVID-19</w:t>
              </w:r>
            </w:hyperlink>
            <w:r>
              <w:rPr>
                <w:rFonts w:ascii="Calibri" w:eastAsia="Calibri" w:hAnsi="Calibri" w:cs="Calibri"/>
                <w:color w:val="000000"/>
                <w:sz w:val="22"/>
                <w:szCs w:val="22"/>
              </w:rPr>
              <w:t>)</w:t>
            </w:r>
          </w:p>
        </w:tc>
        <w:tc>
          <w:tcPr>
            <w:tcW w:w="1851" w:type="dxa"/>
          </w:tcPr>
          <w:p w14:paraId="0000037F" w14:textId="77777777" w:rsidR="009F1887" w:rsidRDefault="009F1887">
            <w:pPr>
              <w:rPr>
                <w:b/>
              </w:rPr>
            </w:pPr>
          </w:p>
        </w:tc>
        <w:tc>
          <w:tcPr>
            <w:tcW w:w="1465" w:type="dxa"/>
          </w:tcPr>
          <w:p w14:paraId="00000380" w14:textId="77777777" w:rsidR="009F1887" w:rsidRDefault="009F1887">
            <w:pPr>
              <w:rPr>
                <w:b/>
              </w:rPr>
            </w:pPr>
          </w:p>
        </w:tc>
        <w:tc>
          <w:tcPr>
            <w:tcW w:w="1410" w:type="dxa"/>
          </w:tcPr>
          <w:p w14:paraId="00000381" w14:textId="77777777" w:rsidR="009F1887" w:rsidRDefault="009F1887">
            <w:pPr>
              <w:rPr>
                <w:b/>
              </w:rPr>
            </w:pPr>
          </w:p>
        </w:tc>
      </w:tr>
    </w:tbl>
    <w:p w14:paraId="00000382" w14:textId="77777777" w:rsidR="009F1887" w:rsidRDefault="009F1887">
      <w:pPr>
        <w:rPr>
          <w:rFonts w:ascii="Times New Roman" w:eastAsia="Times New Roman" w:hAnsi="Times New Roman" w:cs="Times New Roman"/>
          <w:b/>
        </w:rPr>
      </w:pPr>
    </w:p>
    <w:p w14:paraId="00000383" w14:textId="77777777" w:rsidR="009F1887" w:rsidRDefault="00790D5B">
      <w:r>
        <w:br w:type="page"/>
      </w:r>
    </w:p>
    <w:p w14:paraId="00000384" w14:textId="77777777" w:rsidR="009F1887" w:rsidRDefault="00790D5B">
      <w:pPr>
        <w:rPr>
          <w:rFonts w:ascii="Times New Roman" w:eastAsia="Times New Roman" w:hAnsi="Times New Roman" w:cs="Times New Roman"/>
          <w:b/>
        </w:rPr>
      </w:pPr>
      <w:r>
        <w:rPr>
          <w:rFonts w:ascii="Times New Roman" w:eastAsia="Times New Roman" w:hAnsi="Times New Roman" w:cs="Times New Roman"/>
          <w:b/>
        </w:rPr>
        <w:lastRenderedPageBreak/>
        <w:t>Table 2 - Environmental and Social Risks and Mitigation Measures during Construction Stage</w:t>
      </w:r>
    </w:p>
    <w:tbl>
      <w:tblPr>
        <w:tblStyle w:val="a3"/>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880"/>
        <w:gridCol w:w="3933"/>
        <w:gridCol w:w="2187"/>
        <w:gridCol w:w="1260"/>
        <w:gridCol w:w="1615"/>
      </w:tblGrid>
      <w:tr w:rsidR="009F1887" w14:paraId="319E3C06" w14:textId="77777777">
        <w:tc>
          <w:tcPr>
            <w:tcW w:w="2515" w:type="dxa"/>
            <w:shd w:val="clear" w:color="auto" w:fill="FFC000"/>
          </w:tcPr>
          <w:p w14:paraId="00000385" w14:textId="77777777" w:rsidR="009F1887" w:rsidRDefault="00790D5B">
            <w:pPr>
              <w:jc w:val="center"/>
              <w:rPr>
                <w:b/>
              </w:rPr>
            </w:pPr>
            <w:r>
              <w:rPr>
                <w:b/>
              </w:rPr>
              <w:t>Activities</w:t>
            </w:r>
          </w:p>
        </w:tc>
        <w:tc>
          <w:tcPr>
            <w:tcW w:w="2880" w:type="dxa"/>
            <w:shd w:val="clear" w:color="auto" w:fill="FFC000"/>
          </w:tcPr>
          <w:p w14:paraId="00000386" w14:textId="77777777" w:rsidR="009F1887" w:rsidRDefault="00790D5B">
            <w:pPr>
              <w:jc w:val="center"/>
              <w:rPr>
                <w:b/>
              </w:rPr>
            </w:pPr>
            <w:r>
              <w:rPr>
                <w:b/>
              </w:rPr>
              <w:t>Potential E&amp;S Risks and Impacts</w:t>
            </w:r>
          </w:p>
        </w:tc>
        <w:tc>
          <w:tcPr>
            <w:tcW w:w="3933" w:type="dxa"/>
            <w:shd w:val="clear" w:color="auto" w:fill="FFC000"/>
          </w:tcPr>
          <w:p w14:paraId="00000387" w14:textId="77777777" w:rsidR="009F1887" w:rsidRDefault="00790D5B">
            <w:pPr>
              <w:jc w:val="center"/>
              <w:rPr>
                <w:b/>
              </w:rPr>
            </w:pPr>
            <w:r>
              <w:rPr>
                <w:b/>
              </w:rPr>
              <w:t>Proposed Mitigation Measures</w:t>
            </w:r>
          </w:p>
        </w:tc>
        <w:tc>
          <w:tcPr>
            <w:tcW w:w="2187" w:type="dxa"/>
            <w:shd w:val="clear" w:color="auto" w:fill="FFC000"/>
          </w:tcPr>
          <w:p w14:paraId="00000388" w14:textId="77777777" w:rsidR="009F1887" w:rsidRDefault="00790D5B">
            <w:pPr>
              <w:jc w:val="center"/>
              <w:rPr>
                <w:b/>
              </w:rPr>
            </w:pPr>
            <w:r>
              <w:rPr>
                <w:b/>
              </w:rPr>
              <w:t>Responsibilities</w:t>
            </w:r>
          </w:p>
        </w:tc>
        <w:tc>
          <w:tcPr>
            <w:tcW w:w="1260" w:type="dxa"/>
            <w:shd w:val="clear" w:color="auto" w:fill="FFC000"/>
          </w:tcPr>
          <w:p w14:paraId="00000389" w14:textId="77777777" w:rsidR="009F1887" w:rsidRDefault="00790D5B">
            <w:pPr>
              <w:jc w:val="center"/>
              <w:rPr>
                <w:b/>
              </w:rPr>
            </w:pPr>
            <w:r>
              <w:rPr>
                <w:b/>
              </w:rPr>
              <w:t>Timeline</w:t>
            </w:r>
          </w:p>
        </w:tc>
        <w:tc>
          <w:tcPr>
            <w:tcW w:w="1615" w:type="dxa"/>
            <w:shd w:val="clear" w:color="auto" w:fill="FFC000"/>
          </w:tcPr>
          <w:p w14:paraId="0000038A" w14:textId="77777777" w:rsidR="009F1887" w:rsidRDefault="00790D5B">
            <w:pPr>
              <w:jc w:val="center"/>
              <w:rPr>
                <w:b/>
              </w:rPr>
            </w:pPr>
            <w:r>
              <w:rPr>
                <w:b/>
              </w:rPr>
              <w:t>Budget</w:t>
            </w:r>
          </w:p>
        </w:tc>
      </w:tr>
      <w:tr w:rsidR="009F1887" w14:paraId="1E7179E3" w14:textId="77777777">
        <w:tc>
          <w:tcPr>
            <w:tcW w:w="2515" w:type="dxa"/>
          </w:tcPr>
          <w:p w14:paraId="0000038B" w14:textId="77777777" w:rsidR="009F1887" w:rsidRDefault="00790D5B">
            <w:pPr>
              <w:rPr>
                <w:b/>
              </w:rPr>
            </w:pPr>
            <w:r>
              <w:t>Clearing of vegetation and trees; Construction activities near ecologically sensitive areas/spots</w:t>
            </w:r>
          </w:p>
        </w:tc>
        <w:tc>
          <w:tcPr>
            <w:tcW w:w="2880" w:type="dxa"/>
          </w:tcPr>
          <w:p w14:paraId="0000038C" w14:textId="77777777" w:rsidR="009F1887" w:rsidRDefault="00790D5B">
            <w:pPr>
              <w:numPr>
                <w:ilvl w:val="0"/>
                <w:numId w:val="2"/>
              </w:numPr>
              <w:pBdr>
                <w:top w:val="nil"/>
                <w:left w:val="nil"/>
                <w:bottom w:val="nil"/>
                <w:right w:val="nil"/>
                <w:between w:val="nil"/>
              </w:pBdr>
              <w:spacing w:after="200" w:line="276" w:lineRule="auto"/>
              <w:rPr>
                <w:rFonts w:ascii="Calibri" w:eastAsia="Calibri" w:hAnsi="Calibri" w:cs="Calibri"/>
                <w:b/>
                <w:color w:val="000000"/>
                <w:sz w:val="22"/>
                <w:szCs w:val="22"/>
              </w:rPr>
            </w:pPr>
            <w:r>
              <w:rPr>
                <w:rFonts w:ascii="Calibri" w:eastAsia="Calibri" w:hAnsi="Calibri" w:cs="Calibri"/>
                <w:color w:val="000000"/>
                <w:sz w:val="22"/>
                <w:szCs w:val="22"/>
              </w:rPr>
              <w:t>Impacts on natural habitats, ecological resources and biodiversity</w:t>
            </w:r>
          </w:p>
        </w:tc>
        <w:tc>
          <w:tcPr>
            <w:tcW w:w="3933" w:type="dxa"/>
          </w:tcPr>
          <w:p w14:paraId="0000038D" w14:textId="77777777" w:rsidR="009F1887" w:rsidRDefault="009F1887">
            <w:pPr>
              <w:rPr>
                <w:b/>
              </w:rPr>
            </w:pPr>
          </w:p>
        </w:tc>
        <w:tc>
          <w:tcPr>
            <w:tcW w:w="2187" w:type="dxa"/>
          </w:tcPr>
          <w:p w14:paraId="0000038E" w14:textId="77777777" w:rsidR="009F1887" w:rsidRDefault="009F1887">
            <w:pPr>
              <w:rPr>
                <w:b/>
              </w:rPr>
            </w:pPr>
          </w:p>
        </w:tc>
        <w:tc>
          <w:tcPr>
            <w:tcW w:w="1260" w:type="dxa"/>
          </w:tcPr>
          <w:p w14:paraId="0000038F" w14:textId="77777777" w:rsidR="009F1887" w:rsidRDefault="009F1887">
            <w:pPr>
              <w:rPr>
                <w:b/>
              </w:rPr>
            </w:pPr>
          </w:p>
        </w:tc>
        <w:tc>
          <w:tcPr>
            <w:tcW w:w="1615" w:type="dxa"/>
          </w:tcPr>
          <w:p w14:paraId="00000390" w14:textId="77777777" w:rsidR="009F1887" w:rsidRDefault="009F1887">
            <w:pPr>
              <w:rPr>
                <w:b/>
              </w:rPr>
            </w:pPr>
          </w:p>
        </w:tc>
      </w:tr>
      <w:tr w:rsidR="009F1887" w14:paraId="025DCCCA" w14:textId="77777777">
        <w:tc>
          <w:tcPr>
            <w:tcW w:w="2515" w:type="dxa"/>
          </w:tcPr>
          <w:p w14:paraId="00000391" w14:textId="77777777" w:rsidR="009F1887" w:rsidRDefault="00790D5B">
            <w:pPr>
              <w:rPr>
                <w:b/>
              </w:rPr>
            </w:pPr>
            <w:r>
              <w:t>General construction activities Foundation excavation; borehole digging</w:t>
            </w:r>
          </w:p>
        </w:tc>
        <w:tc>
          <w:tcPr>
            <w:tcW w:w="2880" w:type="dxa"/>
          </w:tcPr>
          <w:p w14:paraId="00000392"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Impacts on soils and groundwater;</w:t>
            </w:r>
          </w:p>
          <w:p w14:paraId="00000393"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Geological risks</w:t>
            </w:r>
          </w:p>
        </w:tc>
        <w:tc>
          <w:tcPr>
            <w:tcW w:w="3933" w:type="dxa"/>
          </w:tcPr>
          <w:p w14:paraId="00000394" w14:textId="77777777" w:rsidR="009F1887" w:rsidRDefault="009F1887">
            <w:pPr>
              <w:rPr>
                <w:b/>
              </w:rPr>
            </w:pPr>
          </w:p>
        </w:tc>
        <w:tc>
          <w:tcPr>
            <w:tcW w:w="2187" w:type="dxa"/>
          </w:tcPr>
          <w:p w14:paraId="00000395" w14:textId="77777777" w:rsidR="009F1887" w:rsidRDefault="009F1887">
            <w:pPr>
              <w:rPr>
                <w:b/>
              </w:rPr>
            </w:pPr>
          </w:p>
        </w:tc>
        <w:tc>
          <w:tcPr>
            <w:tcW w:w="1260" w:type="dxa"/>
          </w:tcPr>
          <w:p w14:paraId="00000396" w14:textId="77777777" w:rsidR="009F1887" w:rsidRDefault="009F1887">
            <w:pPr>
              <w:rPr>
                <w:b/>
              </w:rPr>
            </w:pPr>
          </w:p>
        </w:tc>
        <w:tc>
          <w:tcPr>
            <w:tcW w:w="1615" w:type="dxa"/>
          </w:tcPr>
          <w:p w14:paraId="00000397" w14:textId="77777777" w:rsidR="009F1887" w:rsidRDefault="009F1887">
            <w:pPr>
              <w:rPr>
                <w:b/>
              </w:rPr>
            </w:pPr>
          </w:p>
        </w:tc>
      </w:tr>
      <w:tr w:rsidR="009F1887" w14:paraId="63861442" w14:textId="77777777">
        <w:tc>
          <w:tcPr>
            <w:tcW w:w="2515" w:type="dxa"/>
          </w:tcPr>
          <w:p w14:paraId="00000398" w14:textId="77777777" w:rsidR="009F1887" w:rsidRDefault="00790D5B">
            <w:pPr>
              <w:rPr>
                <w:b/>
              </w:rPr>
            </w:pPr>
            <w:r>
              <w:t xml:space="preserve">General construction activities </w:t>
            </w:r>
          </w:p>
        </w:tc>
        <w:tc>
          <w:tcPr>
            <w:tcW w:w="2880" w:type="dxa"/>
          </w:tcPr>
          <w:p w14:paraId="00000399"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Resource efficiency issues, including raw materials, water and energy use;</w:t>
            </w:r>
          </w:p>
          <w:p w14:paraId="0000039A"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Materials supply</w:t>
            </w:r>
          </w:p>
        </w:tc>
        <w:tc>
          <w:tcPr>
            <w:tcW w:w="3933" w:type="dxa"/>
          </w:tcPr>
          <w:p w14:paraId="0000039B" w14:textId="77777777" w:rsidR="009F1887" w:rsidRDefault="009F1887">
            <w:pPr>
              <w:rPr>
                <w:b/>
              </w:rPr>
            </w:pPr>
          </w:p>
        </w:tc>
        <w:tc>
          <w:tcPr>
            <w:tcW w:w="2187" w:type="dxa"/>
          </w:tcPr>
          <w:p w14:paraId="0000039C" w14:textId="77777777" w:rsidR="009F1887" w:rsidRDefault="009F1887">
            <w:pPr>
              <w:rPr>
                <w:b/>
              </w:rPr>
            </w:pPr>
          </w:p>
        </w:tc>
        <w:tc>
          <w:tcPr>
            <w:tcW w:w="1260" w:type="dxa"/>
          </w:tcPr>
          <w:p w14:paraId="0000039D" w14:textId="77777777" w:rsidR="009F1887" w:rsidRDefault="009F1887">
            <w:pPr>
              <w:rPr>
                <w:b/>
              </w:rPr>
            </w:pPr>
          </w:p>
        </w:tc>
        <w:tc>
          <w:tcPr>
            <w:tcW w:w="1615" w:type="dxa"/>
          </w:tcPr>
          <w:p w14:paraId="0000039E" w14:textId="77777777" w:rsidR="009F1887" w:rsidRDefault="009F1887">
            <w:pPr>
              <w:rPr>
                <w:b/>
              </w:rPr>
            </w:pPr>
          </w:p>
        </w:tc>
      </w:tr>
      <w:tr w:rsidR="009F1887" w14:paraId="29C40EA2" w14:textId="77777777">
        <w:tc>
          <w:tcPr>
            <w:tcW w:w="2515" w:type="dxa"/>
          </w:tcPr>
          <w:p w14:paraId="0000039F" w14:textId="77777777" w:rsidR="009F1887" w:rsidRDefault="00790D5B">
            <w:pPr>
              <w:rPr>
                <w:b/>
              </w:rPr>
            </w:pPr>
            <w:r>
              <w:t>General construction activities – general pollution management</w:t>
            </w:r>
          </w:p>
        </w:tc>
        <w:tc>
          <w:tcPr>
            <w:tcW w:w="2880" w:type="dxa"/>
          </w:tcPr>
          <w:p w14:paraId="000003A0"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Construction solid waste;</w:t>
            </w:r>
          </w:p>
          <w:p w14:paraId="000003A1"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Construction wastewater;</w:t>
            </w:r>
          </w:p>
          <w:p w14:paraId="000003A2"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 xml:space="preserve">Nosie; </w:t>
            </w:r>
          </w:p>
          <w:p w14:paraId="000003A3"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Vibration;</w:t>
            </w:r>
          </w:p>
          <w:p w14:paraId="000003A4"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Dust;</w:t>
            </w:r>
          </w:p>
          <w:p w14:paraId="000003A5"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Air emissions from construction equipment</w:t>
            </w:r>
          </w:p>
        </w:tc>
        <w:tc>
          <w:tcPr>
            <w:tcW w:w="3933" w:type="dxa"/>
          </w:tcPr>
          <w:p w14:paraId="000003A6" w14:textId="77777777" w:rsidR="009F1887" w:rsidRDefault="009F1887">
            <w:pPr>
              <w:rPr>
                <w:b/>
              </w:rPr>
            </w:pPr>
          </w:p>
        </w:tc>
        <w:tc>
          <w:tcPr>
            <w:tcW w:w="2187" w:type="dxa"/>
          </w:tcPr>
          <w:p w14:paraId="000003A7" w14:textId="77777777" w:rsidR="009F1887" w:rsidRDefault="009F1887">
            <w:pPr>
              <w:rPr>
                <w:b/>
              </w:rPr>
            </w:pPr>
          </w:p>
        </w:tc>
        <w:tc>
          <w:tcPr>
            <w:tcW w:w="1260" w:type="dxa"/>
          </w:tcPr>
          <w:p w14:paraId="000003A8" w14:textId="77777777" w:rsidR="009F1887" w:rsidRDefault="009F1887">
            <w:pPr>
              <w:rPr>
                <w:b/>
              </w:rPr>
            </w:pPr>
          </w:p>
        </w:tc>
        <w:tc>
          <w:tcPr>
            <w:tcW w:w="1615" w:type="dxa"/>
          </w:tcPr>
          <w:p w14:paraId="000003A9" w14:textId="77777777" w:rsidR="009F1887" w:rsidRDefault="009F1887">
            <w:pPr>
              <w:rPr>
                <w:b/>
              </w:rPr>
            </w:pPr>
          </w:p>
        </w:tc>
      </w:tr>
      <w:tr w:rsidR="009F1887" w14:paraId="6172217C" w14:textId="77777777">
        <w:tc>
          <w:tcPr>
            <w:tcW w:w="2515" w:type="dxa"/>
          </w:tcPr>
          <w:p w14:paraId="000003AA" w14:textId="77777777" w:rsidR="009F1887" w:rsidRDefault="00790D5B">
            <w:pPr>
              <w:rPr>
                <w:b/>
              </w:rPr>
            </w:pPr>
            <w:r>
              <w:t>General construction activities – hazardous waste management</w:t>
            </w:r>
          </w:p>
        </w:tc>
        <w:tc>
          <w:tcPr>
            <w:tcW w:w="2880" w:type="dxa"/>
          </w:tcPr>
          <w:p w14:paraId="000003AB" w14:textId="77777777" w:rsidR="009F1887" w:rsidRDefault="00790D5B">
            <w:pPr>
              <w:numPr>
                <w:ilvl w:val="0"/>
                <w:numId w:val="3"/>
              </w:numPr>
              <w:pBdr>
                <w:top w:val="nil"/>
                <w:left w:val="nil"/>
                <w:bottom w:val="nil"/>
                <w:right w:val="nil"/>
                <w:between w:val="nil"/>
              </w:pBdr>
              <w:spacing w:after="200" w:line="276" w:lineRule="auto"/>
              <w:rPr>
                <w:rFonts w:ascii="Calibri" w:eastAsia="Calibri" w:hAnsi="Calibri" w:cs="Calibri"/>
                <w:b/>
                <w:color w:val="000000"/>
                <w:sz w:val="22"/>
                <w:szCs w:val="22"/>
              </w:rPr>
            </w:pPr>
            <w:r>
              <w:rPr>
                <w:rFonts w:ascii="Calibri" w:eastAsia="Calibri" w:hAnsi="Calibri" w:cs="Calibri"/>
                <w:color w:val="000000"/>
                <w:sz w:val="22"/>
                <w:szCs w:val="22"/>
              </w:rPr>
              <w:t>Fuel, oils, lubricant</w:t>
            </w:r>
          </w:p>
        </w:tc>
        <w:tc>
          <w:tcPr>
            <w:tcW w:w="3933" w:type="dxa"/>
          </w:tcPr>
          <w:p w14:paraId="000003AC" w14:textId="77777777" w:rsidR="009F1887" w:rsidRDefault="009F1887">
            <w:pPr>
              <w:rPr>
                <w:b/>
              </w:rPr>
            </w:pPr>
          </w:p>
        </w:tc>
        <w:tc>
          <w:tcPr>
            <w:tcW w:w="2187" w:type="dxa"/>
          </w:tcPr>
          <w:p w14:paraId="000003AD" w14:textId="77777777" w:rsidR="009F1887" w:rsidRDefault="009F1887">
            <w:pPr>
              <w:rPr>
                <w:b/>
              </w:rPr>
            </w:pPr>
          </w:p>
        </w:tc>
        <w:tc>
          <w:tcPr>
            <w:tcW w:w="1260" w:type="dxa"/>
          </w:tcPr>
          <w:p w14:paraId="000003AE" w14:textId="77777777" w:rsidR="009F1887" w:rsidRDefault="009F1887">
            <w:pPr>
              <w:rPr>
                <w:b/>
              </w:rPr>
            </w:pPr>
          </w:p>
        </w:tc>
        <w:tc>
          <w:tcPr>
            <w:tcW w:w="1615" w:type="dxa"/>
          </w:tcPr>
          <w:p w14:paraId="000003AF" w14:textId="77777777" w:rsidR="009F1887" w:rsidRDefault="009F1887">
            <w:pPr>
              <w:rPr>
                <w:b/>
              </w:rPr>
            </w:pPr>
          </w:p>
        </w:tc>
      </w:tr>
      <w:tr w:rsidR="009F1887" w14:paraId="727B7A92" w14:textId="77777777">
        <w:tc>
          <w:tcPr>
            <w:tcW w:w="2515" w:type="dxa"/>
          </w:tcPr>
          <w:p w14:paraId="000003B0" w14:textId="77777777" w:rsidR="009F1887" w:rsidRDefault="00790D5B">
            <w:pPr>
              <w:rPr>
                <w:b/>
              </w:rPr>
            </w:pPr>
            <w:r>
              <w:t>General construction activities – Labor issues</w:t>
            </w:r>
          </w:p>
        </w:tc>
        <w:tc>
          <w:tcPr>
            <w:tcW w:w="2880" w:type="dxa"/>
          </w:tcPr>
          <w:p w14:paraId="000003B1"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Workers coming from infected areas</w:t>
            </w:r>
          </w:p>
          <w:p w14:paraId="000003B2"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Co-workers becoming infected</w:t>
            </w:r>
          </w:p>
          <w:p w14:paraId="000003B3"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Workers introducing infection into community/general public</w:t>
            </w:r>
          </w:p>
        </w:tc>
        <w:tc>
          <w:tcPr>
            <w:tcW w:w="3933" w:type="dxa"/>
          </w:tcPr>
          <w:p w14:paraId="000003B4"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Refer to COVID-19 LMP</w:t>
            </w:r>
          </w:p>
          <w:p w14:paraId="000003B5" w14:textId="77777777" w:rsidR="009F1887" w:rsidRDefault="00790D5B">
            <w:pPr>
              <w:numPr>
                <w:ilvl w:val="0"/>
                <w:numId w:val="3"/>
              </w:numPr>
              <w:pBdr>
                <w:top w:val="nil"/>
                <w:left w:val="nil"/>
                <w:bottom w:val="nil"/>
                <w:right w:val="nil"/>
                <w:between w:val="nil"/>
              </w:pBdr>
              <w:spacing w:after="200" w:line="276" w:lineRule="auto"/>
              <w:jc w:val="both"/>
              <w:rPr>
                <w:rFonts w:ascii="Calibri" w:eastAsia="Calibri" w:hAnsi="Calibri" w:cs="Calibri"/>
                <w:b/>
                <w:color w:val="000000"/>
                <w:sz w:val="22"/>
                <w:szCs w:val="22"/>
              </w:rPr>
            </w:pPr>
            <w:r>
              <w:rPr>
                <w:rFonts w:ascii="Calibri" w:eastAsia="Calibri" w:hAnsi="Calibri" w:cs="Calibri"/>
                <w:color w:val="000000"/>
                <w:sz w:val="22"/>
                <w:szCs w:val="22"/>
              </w:rPr>
              <w:t xml:space="preserve">Consider ways to minimize/control movement in and out of construction areas/site. </w:t>
            </w:r>
          </w:p>
          <w:p w14:paraId="000003B6" w14:textId="77777777" w:rsidR="009F1887" w:rsidRDefault="00790D5B">
            <w:pPr>
              <w:numPr>
                <w:ilvl w:val="0"/>
                <w:numId w:val="3"/>
              </w:numPr>
              <w:pBdr>
                <w:top w:val="nil"/>
                <w:left w:val="nil"/>
                <w:bottom w:val="nil"/>
                <w:right w:val="nil"/>
                <w:between w:val="nil"/>
              </w:pBdr>
              <w:jc w:val="both"/>
              <w:rPr>
                <w:color w:val="000000"/>
              </w:rPr>
            </w:pPr>
            <w:r>
              <w:rPr>
                <w:color w:val="000000"/>
              </w:rPr>
              <w:t>If workers are accommodated on site require them to minimize contact with people outside the construction area/site or prohibit them from leaving the area/site for the duration of their contract</w:t>
            </w:r>
          </w:p>
          <w:p w14:paraId="000003B7" w14:textId="77777777" w:rsidR="009F1887" w:rsidRDefault="00790D5B">
            <w:pPr>
              <w:numPr>
                <w:ilvl w:val="0"/>
                <w:numId w:val="3"/>
              </w:numPr>
              <w:pBdr>
                <w:top w:val="nil"/>
                <w:left w:val="nil"/>
                <w:bottom w:val="nil"/>
                <w:right w:val="nil"/>
                <w:between w:val="nil"/>
              </w:pBdr>
              <w:spacing w:after="200" w:line="276" w:lineRule="auto"/>
              <w:jc w:val="both"/>
            </w:pPr>
            <w:r>
              <w:rPr>
                <w:rFonts w:ascii="Calibri" w:eastAsia="Calibri" w:hAnsi="Calibri" w:cs="Calibri"/>
                <w:color w:val="000000"/>
                <w:sz w:val="22"/>
                <w:szCs w:val="22"/>
              </w:rPr>
              <w:t>Implement procedures to confirm workers are fit for work before they start work, paying special to workers with underlying health issues or who may be otherwise at risk</w:t>
            </w:r>
          </w:p>
          <w:p w14:paraId="000003B8" w14:textId="77777777" w:rsidR="009F1887" w:rsidRDefault="00790D5B">
            <w:pPr>
              <w:numPr>
                <w:ilvl w:val="0"/>
                <w:numId w:val="3"/>
              </w:numPr>
              <w:pBdr>
                <w:top w:val="nil"/>
                <w:left w:val="nil"/>
                <w:bottom w:val="nil"/>
                <w:right w:val="nil"/>
                <w:between w:val="nil"/>
              </w:pBdr>
              <w:spacing w:after="200" w:line="276" w:lineRule="auto"/>
              <w:jc w:val="both"/>
            </w:pPr>
            <w:r>
              <w:rPr>
                <w:rFonts w:ascii="Calibri" w:eastAsia="Calibri" w:hAnsi="Calibri" w:cs="Calibri"/>
                <w:color w:val="000000"/>
                <w:sz w:val="22"/>
                <w:szCs w:val="22"/>
              </w:rPr>
              <w:lastRenderedPageBreak/>
              <w:t xml:space="preserve">Check and record temperatures of workers and other people entering the construction area/site or require self-reporting prior to or on entering </w:t>
            </w:r>
          </w:p>
          <w:p w14:paraId="000003B9" w14:textId="77777777" w:rsidR="009F1887" w:rsidRDefault="00790D5B">
            <w:pPr>
              <w:numPr>
                <w:ilvl w:val="0"/>
                <w:numId w:val="3"/>
              </w:numPr>
              <w:pBdr>
                <w:top w:val="nil"/>
                <w:left w:val="nil"/>
                <w:bottom w:val="nil"/>
                <w:right w:val="nil"/>
                <w:between w:val="nil"/>
              </w:pBdr>
              <w:spacing w:after="200" w:line="276" w:lineRule="auto"/>
              <w:jc w:val="both"/>
            </w:pPr>
            <w:r>
              <w:rPr>
                <w:rFonts w:ascii="Calibri" w:eastAsia="Calibri" w:hAnsi="Calibri" w:cs="Calibri"/>
                <w:color w:val="000000"/>
                <w:sz w:val="22"/>
                <w:szCs w:val="22"/>
              </w:rPr>
              <w:t>Provide daily briefings to workers prior to commencing work, focusing on COVID-19 specific considerations including cough etiquette, hand hygiene and distancing measures.</w:t>
            </w:r>
          </w:p>
          <w:p w14:paraId="000003BA" w14:textId="77777777" w:rsidR="009F1887" w:rsidRDefault="00790D5B">
            <w:pPr>
              <w:numPr>
                <w:ilvl w:val="0"/>
                <w:numId w:val="3"/>
              </w:numPr>
              <w:pBdr>
                <w:top w:val="nil"/>
                <w:left w:val="nil"/>
                <w:bottom w:val="nil"/>
                <w:right w:val="nil"/>
                <w:between w:val="nil"/>
              </w:pBdr>
              <w:spacing w:after="200" w:line="276" w:lineRule="auto"/>
              <w:jc w:val="both"/>
            </w:pPr>
            <w:r>
              <w:rPr>
                <w:rFonts w:ascii="Calibri" w:eastAsia="Calibri" w:hAnsi="Calibri" w:cs="Calibri"/>
                <w:color w:val="000000"/>
                <w:sz w:val="22"/>
                <w:szCs w:val="22"/>
              </w:rPr>
              <w:t>Require workers to self-monitor for possible symptoms (fever, cough) and to report to their supervisor if they have symptoms or are feeling unwell</w:t>
            </w:r>
          </w:p>
          <w:p w14:paraId="000003BB" w14:textId="77777777" w:rsidR="009F1887" w:rsidRDefault="00790D5B">
            <w:pPr>
              <w:numPr>
                <w:ilvl w:val="0"/>
                <w:numId w:val="3"/>
              </w:numPr>
              <w:pBdr>
                <w:top w:val="nil"/>
                <w:left w:val="nil"/>
                <w:bottom w:val="nil"/>
                <w:right w:val="nil"/>
                <w:between w:val="nil"/>
              </w:pBdr>
              <w:spacing w:after="200" w:line="276" w:lineRule="auto"/>
              <w:jc w:val="both"/>
            </w:pPr>
            <w:r>
              <w:rPr>
                <w:rFonts w:ascii="Calibri" w:eastAsia="Calibri" w:hAnsi="Calibri" w:cs="Calibri"/>
                <w:color w:val="000000"/>
                <w:sz w:val="22"/>
                <w:szCs w:val="22"/>
              </w:rPr>
              <w:t xml:space="preserve">Prevent a worker from an affected area or who has been in contact with an infected person from entering the construction area/site for 14 days </w:t>
            </w:r>
          </w:p>
          <w:p w14:paraId="000003BC" w14:textId="77777777" w:rsidR="009F1887" w:rsidRDefault="00790D5B">
            <w:pPr>
              <w:numPr>
                <w:ilvl w:val="0"/>
                <w:numId w:val="3"/>
              </w:numPr>
              <w:pBdr>
                <w:top w:val="nil"/>
                <w:left w:val="nil"/>
                <w:bottom w:val="nil"/>
                <w:right w:val="nil"/>
                <w:between w:val="nil"/>
              </w:pBdr>
              <w:spacing w:after="200" w:line="276" w:lineRule="auto"/>
              <w:jc w:val="both"/>
            </w:pPr>
            <w:r>
              <w:rPr>
                <w:rFonts w:ascii="Calibri" w:eastAsia="Calibri" w:hAnsi="Calibri" w:cs="Calibri"/>
                <w:color w:val="000000"/>
                <w:sz w:val="22"/>
                <w:szCs w:val="22"/>
              </w:rPr>
              <w:t>Preventing a sick worker from entering the construction area/site, referring them to local health facilities if necessary or requiring them to isolate at home for 14 days</w:t>
            </w:r>
          </w:p>
          <w:p w14:paraId="000003BD"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187" w:type="dxa"/>
          </w:tcPr>
          <w:p w14:paraId="000003BE" w14:textId="77777777" w:rsidR="009F1887" w:rsidRDefault="009F1887">
            <w:pPr>
              <w:rPr>
                <w:b/>
              </w:rPr>
            </w:pPr>
          </w:p>
        </w:tc>
        <w:tc>
          <w:tcPr>
            <w:tcW w:w="1260" w:type="dxa"/>
          </w:tcPr>
          <w:p w14:paraId="000003BF" w14:textId="77777777" w:rsidR="009F1887" w:rsidRDefault="009F1887">
            <w:pPr>
              <w:rPr>
                <w:b/>
              </w:rPr>
            </w:pPr>
          </w:p>
        </w:tc>
        <w:tc>
          <w:tcPr>
            <w:tcW w:w="1615" w:type="dxa"/>
          </w:tcPr>
          <w:p w14:paraId="000003C0" w14:textId="77777777" w:rsidR="009F1887" w:rsidRDefault="009F1887">
            <w:pPr>
              <w:rPr>
                <w:b/>
              </w:rPr>
            </w:pPr>
          </w:p>
        </w:tc>
      </w:tr>
      <w:tr w:rsidR="009F1887" w14:paraId="061A1BCB" w14:textId="77777777">
        <w:tc>
          <w:tcPr>
            <w:tcW w:w="2515" w:type="dxa"/>
          </w:tcPr>
          <w:p w14:paraId="000003C1" w14:textId="77777777" w:rsidR="009F1887" w:rsidRDefault="00790D5B">
            <w:pPr>
              <w:rPr>
                <w:b/>
              </w:rPr>
            </w:pPr>
            <w:r>
              <w:t>General construction activities – Occupational Health and Safety (OHS)</w:t>
            </w:r>
          </w:p>
        </w:tc>
        <w:tc>
          <w:tcPr>
            <w:tcW w:w="2880" w:type="dxa"/>
          </w:tcPr>
          <w:p w14:paraId="000003C2" w14:textId="77777777" w:rsidR="009F1887" w:rsidRDefault="009F1887">
            <w:pPr>
              <w:rPr>
                <w:b/>
              </w:rPr>
            </w:pPr>
          </w:p>
        </w:tc>
        <w:tc>
          <w:tcPr>
            <w:tcW w:w="3933" w:type="dxa"/>
          </w:tcPr>
          <w:p w14:paraId="000003C3" w14:textId="77777777" w:rsidR="009F1887" w:rsidRDefault="009F1887">
            <w:pPr>
              <w:rPr>
                <w:b/>
              </w:rPr>
            </w:pPr>
          </w:p>
        </w:tc>
        <w:tc>
          <w:tcPr>
            <w:tcW w:w="2187" w:type="dxa"/>
          </w:tcPr>
          <w:p w14:paraId="000003C4" w14:textId="77777777" w:rsidR="009F1887" w:rsidRDefault="009F1887">
            <w:pPr>
              <w:rPr>
                <w:b/>
              </w:rPr>
            </w:pPr>
          </w:p>
        </w:tc>
        <w:tc>
          <w:tcPr>
            <w:tcW w:w="1260" w:type="dxa"/>
          </w:tcPr>
          <w:p w14:paraId="000003C5" w14:textId="77777777" w:rsidR="009F1887" w:rsidRDefault="009F1887">
            <w:pPr>
              <w:rPr>
                <w:b/>
              </w:rPr>
            </w:pPr>
          </w:p>
        </w:tc>
        <w:tc>
          <w:tcPr>
            <w:tcW w:w="1615" w:type="dxa"/>
          </w:tcPr>
          <w:p w14:paraId="000003C6" w14:textId="77777777" w:rsidR="009F1887" w:rsidRDefault="009F1887">
            <w:pPr>
              <w:rPr>
                <w:b/>
              </w:rPr>
            </w:pPr>
          </w:p>
        </w:tc>
      </w:tr>
      <w:tr w:rsidR="009F1887" w14:paraId="32A8EBD3" w14:textId="77777777">
        <w:tc>
          <w:tcPr>
            <w:tcW w:w="2515" w:type="dxa"/>
          </w:tcPr>
          <w:p w14:paraId="000003C7" w14:textId="77777777" w:rsidR="009F1887" w:rsidRDefault="00790D5B">
            <w:pPr>
              <w:rPr>
                <w:b/>
              </w:rPr>
            </w:pPr>
            <w:r>
              <w:t>General construction activities – traffic and road safety</w:t>
            </w:r>
          </w:p>
        </w:tc>
        <w:tc>
          <w:tcPr>
            <w:tcW w:w="2880" w:type="dxa"/>
          </w:tcPr>
          <w:p w14:paraId="000003C8" w14:textId="77777777" w:rsidR="009F1887" w:rsidRDefault="009F1887">
            <w:pPr>
              <w:rPr>
                <w:b/>
              </w:rPr>
            </w:pPr>
          </w:p>
        </w:tc>
        <w:tc>
          <w:tcPr>
            <w:tcW w:w="3933" w:type="dxa"/>
          </w:tcPr>
          <w:p w14:paraId="000003C9" w14:textId="77777777" w:rsidR="009F1887" w:rsidRDefault="009F1887">
            <w:pPr>
              <w:rPr>
                <w:b/>
              </w:rPr>
            </w:pPr>
          </w:p>
        </w:tc>
        <w:tc>
          <w:tcPr>
            <w:tcW w:w="2187" w:type="dxa"/>
          </w:tcPr>
          <w:p w14:paraId="000003CA" w14:textId="77777777" w:rsidR="009F1887" w:rsidRDefault="009F1887">
            <w:pPr>
              <w:rPr>
                <w:b/>
              </w:rPr>
            </w:pPr>
          </w:p>
        </w:tc>
        <w:tc>
          <w:tcPr>
            <w:tcW w:w="1260" w:type="dxa"/>
          </w:tcPr>
          <w:p w14:paraId="000003CB" w14:textId="77777777" w:rsidR="009F1887" w:rsidRDefault="009F1887">
            <w:pPr>
              <w:rPr>
                <w:b/>
              </w:rPr>
            </w:pPr>
          </w:p>
        </w:tc>
        <w:tc>
          <w:tcPr>
            <w:tcW w:w="1615" w:type="dxa"/>
          </w:tcPr>
          <w:p w14:paraId="000003CC" w14:textId="77777777" w:rsidR="009F1887" w:rsidRDefault="009F1887">
            <w:pPr>
              <w:rPr>
                <w:b/>
              </w:rPr>
            </w:pPr>
          </w:p>
        </w:tc>
      </w:tr>
      <w:tr w:rsidR="009F1887" w14:paraId="156BD685" w14:textId="77777777">
        <w:tc>
          <w:tcPr>
            <w:tcW w:w="2515" w:type="dxa"/>
          </w:tcPr>
          <w:p w14:paraId="000003CD" w14:textId="77777777" w:rsidR="009F1887" w:rsidRDefault="00790D5B">
            <w:pPr>
              <w:rPr>
                <w:b/>
              </w:rPr>
            </w:pPr>
            <w:r>
              <w:t>General construction activities – security personnel</w:t>
            </w:r>
          </w:p>
        </w:tc>
        <w:tc>
          <w:tcPr>
            <w:tcW w:w="2880" w:type="dxa"/>
          </w:tcPr>
          <w:p w14:paraId="000003CE" w14:textId="77777777" w:rsidR="009F1887" w:rsidRDefault="009F1887">
            <w:pPr>
              <w:rPr>
                <w:b/>
              </w:rPr>
            </w:pPr>
          </w:p>
        </w:tc>
        <w:tc>
          <w:tcPr>
            <w:tcW w:w="3933" w:type="dxa"/>
          </w:tcPr>
          <w:p w14:paraId="000003CF" w14:textId="77777777" w:rsidR="009F1887" w:rsidRDefault="009F1887">
            <w:pPr>
              <w:rPr>
                <w:b/>
              </w:rPr>
            </w:pPr>
          </w:p>
        </w:tc>
        <w:tc>
          <w:tcPr>
            <w:tcW w:w="2187" w:type="dxa"/>
          </w:tcPr>
          <w:p w14:paraId="000003D0" w14:textId="77777777" w:rsidR="009F1887" w:rsidRDefault="009F1887">
            <w:pPr>
              <w:rPr>
                <w:b/>
              </w:rPr>
            </w:pPr>
          </w:p>
        </w:tc>
        <w:tc>
          <w:tcPr>
            <w:tcW w:w="1260" w:type="dxa"/>
          </w:tcPr>
          <w:p w14:paraId="000003D1" w14:textId="77777777" w:rsidR="009F1887" w:rsidRDefault="009F1887">
            <w:pPr>
              <w:rPr>
                <w:b/>
              </w:rPr>
            </w:pPr>
          </w:p>
        </w:tc>
        <w:tc>
          <w:tcPr>
            <w:tcW w:w="1615" w:type="dxa"/>
          </w:tcPr>
          <w:p w14:paraId="000003D2" w14:textId="77777777" w:rsidR="009F1887" w:rsidRDefault="009F1887">
            <w:pPr>
              <w:rPr>
                <w:b/>
              </w:rPr>
            </w:pPr>
          </w:p>
        </w:tc>
      </w:tr>
      <w:tr w:rsidR="009F1887" w14:paraId="65117020" w14:textId="77777777">
        <w:tc>
          <w:tcPr>
            <w:tcW w:w="2515" w:type="dxa"/>
          </w:tcPr>
          <w:p w14:paraId="000003D3" w14:textId="77777777" w:rsidR="009F1887" w:rsidRDefault="00790D5B">
            <w:pPr>
              <w:rPr>
                <w:b/>
              </w:rPr>
            </w:pPr>
            <w:r>
              <w:t>General construction activities – land and asset</w:t>
            </w:r>
          </w:p>
        </w:tc>
        <w:tc>
          <w:tcPr>
            <w:tcW w:w="2880" w:type="dxa"/>
          </w:tcPr>
          <w:p w14:paraId="000003D4" w14:textId="77777777" w:rsidR="009F1887" w:rsidRDefault="00790D5B">
            <w:pPr>
              <w:rPr>
                <w:b/>
              </w:rPr>
            </w:pPr>
            <w:r>
              <w:t xml:space="preserve">Acquisition of land and assets </w:t>
            </w:r>
          </w:p>
        </w:tc>
        <w:tc>
          <w:tcPr>
            <w:tcW w:w="3933" w:type="dxa"/>
          </w:tcPr>
          <w:p w14:paraId="000003D5" w14:textId="77777777" w:rsidR="009F1887" w:rsidRDefault="009F1887">
            <w:pPr>
              <w:rPr>
                <w:b/>
              </w:rPr>
            </w:pPr>
          </w:p>
        </w:tc>
        <w:tc>
          <w:tcPr>
            <w:tcW w:w="2187" w:type="dxa"/>
          </w:tcPr>
          <w:p w14:paraId="000003D6" w14:textId="77777777" w:rsidR="009F1887" w:rsidRDefault="009F1887">
            <w:pPr>
              <w:rPr>
                <w:b/>
              </w:rPr>
            </w:pPr>
          </w:p>
        </w:tc>
        <w:tc>
          <w:tcPr>
            <w:tcW w:w="1260" w:type="dxa"/>
          </w:tcPr>
          <w:p w14:paraId="000003D7" w14:textId="77777777" w:rsidR="009F1887" w:rsidRDefault="009F1887">
            <w:pPr>
              <w:rPr>
                <w:b/>
              </w:rPr>
            </w:pPr>
          </w:p>
        </w:tc>
        <w:tc>
          <w:tcPr>
            <w:tcW w:w="1615" w:type="dxa"/>
          </w:tcPr>
          <w:p w14:paraId="000003D8" w14:textId="77777777" w:rsidR="009F1887" w:rsidRDefault="009F1887">
            <w:pPr>
              <w:rPr>
                <w:b/>
              </w:rPr>
            </w:pPr>
          </w:p>
        </w:tc>
      </w:tr>
      <w:tr w:rsidR="009F1887" w14:paraId="69076439" w14:textId="77777777">
        <w:tc>
          <w:tcPr>
            <w:tcW w:w="2515" w:type="dxa"/>
          </w:tcPr>
          <w:p w14:paraId="000003D9" w14:textId="77777777" w:rsidR="009F1887" w:rsidRDefault="00790D5B">
            <w:pPr>
              <w:rPr>
                <w:b/>
              </w:rPr>
            </w:pPr>
            <w:r>
              <w:t xml:space="preserve">General construction activities  </w:t>
            </w:r>
          </w:p>
        </w:tc>
        <w:tc>
          <w:tcPr>
            <w:tcW w:w="2880" w:type="dxa"/>
          </w:tcPr>
          <w:p w14:paraId="000003DA" w14:textId="77777777" w:rsidR="009F1887" w:rsidRDefault="00790D5B">
            <w:pPr>
              <w:rPr>
                <w:b/>
              </w:rPr>
            </w:pPr>
            <w:r>
              <w:t>GBV/SEA issues</w:t>
            </w:r>
          </w:p>
        </w:tc>
        <w:tc>
          <w:tcPr>
            <w:tcW w:w="3933" w:type="dxa"/>
          </w:tcPr>
          <w:p w14:paraId="000003DB" w14:textId="77777777" w:rsidR="009F1887" w:rsidRDefault="009F1887">
            <w:pPr>
              <w:rPr>
                <w:b/>
              </w:rPr>
            </w:pPr>
          </w:p>
        </w:tc>
        <w:tc>
          <w:tcPr>
            <w:tcW w:w="2187" w:type="dxa"/>
          </w:tcPr>
          <w:p w14:paraId="000003DC" w14:textId="77777777" w:rsidR="009F1887" w:rsidRDefault="009F1887">
            <w:pPr>
              <w:rPr>
                <w:b/>
              </w:rPr>
            </w:pPr>
          </w:p>
        </w:tc>
        <w:tc>
          <w:tcPr>
            <w:tcW w:w="1260" w:type="dxa"/>
          </w:tcPr>
          <w:p w14:paraId="000003DD" w14:textId="77777777" w:rsidR="009F1887" w:rsidRDefault="009F1887">
            <w:pPr>
              <w:rPr>
                <w:b/>
              </w:rPr>
            </w:pPr>
          </w:p>
        </w:tc>
        <w:tc>
          <w:tcPr>
            <w:tcW w:w="1615" w:type="dxa"/>
          </w:tcPr>
          <w:p w14:paraId="000003DE" w14:textId="77777777" w:rsidR="009F1887" w:rsidRDefault="009F1887">
            <w:pPr>
              <w:rPr>
                <w:b/>
              </w:rPr>
            </w:pPr>
          </w:p>
        </w:tc>
      </w:tr>
      <w:tr w:rsidR="009F1887" w14:paraId="5B9CCE6C" w14:textId="77777777">
        <w:tc>
          <w:tcPr>
            <w:tcW w:w="2515" w:type="dxa"/>
          </w:tcPr>
          <w:p w14:paraId="000003DF" w14:textId="77777777" w:rsidR="009F1887" w:rsidRDefault="00790D5B">
            <w:r>
              <w:t xml:space="preserve">General construction activities – cultural heritage </w:t>
            </w:r>
          </w:p>
        </w:tc>
        <w:tc>
          <w:tcPr>
            <w:tcW w:w="2880" w:type="dxa"/>
          </w:tcPr>
          <w:p w14:paraId="000003E0" w14:textId="77777777" w:rsidR="009F1887" w:rsidRDefault="00790D5B">
            <w:r>
              <w:t>Cultural heritage</w:t>
            </w:r>
          </w:p>
        </w:tc>
        <w:tc>
          <w:tcPr>
            <w:tcW w:w="3933" w:type="dxa"/>
          </w:tcPr>
          <w:p w14:paraId="000003E1" w14:textId="77777777" w:rsidR="009F1887" w:rsidRDefault="00790D5B">
            <w:pPr>
              <w:rPr>
                <w:b/>
              </w:rPr>
            </w:pPr>
            <w:r>
              <w:t>Chance-finds procedure</w:t>
            </w:r>
          </w:p>
        </w:tc>
        <w:tc>
          <w:tcPr>
            <w:tcW w:w="2187" w:type="dxa"/>
          </w:tcPr>
          <w:p w14:paraId="000003E2" w14:textId="77777777" w:rsidR="009F1887" w:rsidRDefault="009F1887">
            <w:pPr>
              <w:rPr>
                <w:b/>
              </w:rPr>
            </w:pPr>
          </w:p>
        </w:tc>
        <w:tc>
          <w:tcPr>
            <w:tcW w:w="1260" w:type="dxa"/>
          </w:tcPr>
          <w:p w14:paraId="000003E3" w14:textId="77777777" w:rsidR="009F1887" w:rsidRDefault="009F1887">
            <w:pPr>
              <w:rPr>
                <w:b/>
              </w:rPr>
            </w:pPr>
          </w:p>
        </w:tc>
        <w:tc>
          <w:tcPr>
            <w:tcW w:w="1615" w:type="dxa"/>
          </w:tcPr>
          <w:p w14:paraId="000003E4" w14:textId="77777777" w:rsidR="009F1887" w:rsidRDefault="009F1887">
            <w:pPr>
              <w:rPr>
                <w:b/>
              </w:rPr>
            </w:pPr>
          </w:p>
        </w:tc>
      </w:tr>
      <w:tr w:rsidR="009F1887" w14:paraId="29A7FEC5" w14:textId="77777777">
        <w:tc>
          <w:tcPr>
            <w:tcW w:w="2515" w:type="dxa"/>
          </w:tcPr>
          <w:p w14:paraId="000003E5" w14:textId="77777777" w:rsidR="009F1887" w:rsidRDefault="00790D5B">
            <w:r>
              <w:t>General construction activities – emergency preparedness and response</w:t>
            </w:r>
          </w:p>
        </w:tc>
        <w:tc>
          <w:tcPr>
            <w:tcW w:w="2880" w:type="dxa"/>
          </w:tcPr>
          <w:p w14:paraId="000003E6" w14:textId="77777777" w:rsidR="009F1887" w:rsidRDefault="009F1887"/>
        </w:tc>
        <w:tc>
          <w:tcPr>
            <w:tcW w:w="3933" w:type="dxa"/>
          </w:tcPr>
          <w:p w14:paraId="000003E7" w14:textId="77777777" w:rsidR="009F1887" w:rsidRDefault="009F1887"/>
        </w:tc>
        <w:tc>
          <w:tcPr>
            <w:tcW w:w="2187" w:type="dxa"/>
          </w:tcPr>
          <w:p w14:paraId="000003E8" w14:textId="77777777" w:rsidR="009F1887" w:rsidRDefault="009F1887">
            <w:pPr>
              <w:rPr>
                <w:b/>
              </w:rPr>
            </w:pPr>
          </w:p>
        </w:tc>
        <w:tc>
          <w:tcPr>
            <w:tcW w:w="1260" w:type="dxa"/>
          </w:tcPr>
          <w:p w14:paraId="000003E9" w14:textId="77777777" w:rsidR="009F1887" w:rsidRDefault="009F1887">
            <w:pPr>
              <w:rPr>
                <w:b/>
              </w:rPr>
            </w:pPr>
          </w:p>
        </w:tc>
        <w:tc>
          <w:tcPr>
            <w:tcW w:w="1615" w:type="dxa"/>
          </w:tcPr>
          <w:p w14:paraId="000003EA" w14:textId="77777777" w:rsidR="009F1887" w:rsidRDefault="009F1887">
            <w:pPr>
              <w:rPr>
                <w:b/>
              </w:rPr>
            </w:pPr>
          </w:p>
        </w:tc>
      </w:tr>
      <w:tr w:rsidR="009F1887" w14:paraId="2CE596DF" w14:textId="77777777">
        <w:tc>
          <w:tcPr>
            <w:tcW w:w="2515" w:type="dxa"/>
          </w:tcPr>
          <w:p w14:paraId="000003EB" w14:textId="77777777" w:rsidR="009F1887" w:rsidRDefault="00790D5B">
            <w:r>
              <w:t xml:space="preserve">Construction activities related to </w:t>
            </w:r>
            <w:r>
              <w:rPr>
                <w:i/>
              </w:rPr>
              <w:t>onsite</w:t>
            </w:r>
            <w:r>
              <w:t xml:space="preserve"> waste management facilities, including temporary </w:t>
            </w:r>
            <w:r>
              <w:lastRenderedPageBreak/>
              <w:t>storage, incinerator, sewerage system and wastewater treatment works</w:t>
            </w:r>
          </w:p>
        </w:tc>
        <w:tc>
          <w:tcPr>
            <w:tcW w:w="2880" w:type="dxa"/>
          </w:tcPr>
          <w:p w14:paraId="000003EC" w14:textId="77777777" w:rsidR="009F1887" w:rsidRDefault="009F1887"/>
        </w:tc>
        <w:tc>
          <w:tcPr>
            <w:tcW w:w="3933" w:type="dxa"/>
          </w:tcPr>
          <w:p w14:paraId="000003ED" w14:textId="77777777" w:rsidR="009F1887" w:rsidRDefault="009F1887"/>
        </w:tc>
        <w:tc>
          <w:tcPr>
            <w:tcW w:w="2187" w:type="dxa"/>
          </w:tcPr>
          <w:p w14:paraId="000003EE" w14:textId="77777777" w:rsidR="009F1887" w:rsidRDefault="009F1887">
            <w:pPr>
              <w:rPr>
                <w:b/>
              </w:rPr>
            </w:pPr>
          </w:p>
        </w:tc>
        <w:tc>
          <w:tcPr>
            <w:tcW w:w="1260" w:type="dxa"/>
          </w:tcPr>
          <w:p w14:paraId="000003EF" w14:textId="77777777" w:rsidR="009F1887" w:rsidRDefault="009F1887">
            <w:pPr>
              <w:rPr>
                <w:b/>
              </w:rPr>
            </w:pPr>
          </w:p>
        </w:tc>
        <w:tc>
          <w:tcPr>
            <w:tcW w:w="1615" w:type="dxa"/>
          </w:tcPr>
          <w:p w14:paraId="000003F0" w14:textId="77777777" w:rsidR="009F1887" w:rsidRDefault="009F1887">
            <w:pPr>
              <w:rPr>
                <w:b/>
              </w:rPr>
            </w:pPr>
          </w:p>
        </w:tc>
      </w:tr>
      <w:tr w:rsidR="009F1887" w14:paraId="7ED9B18A" w14:textId="77777777">
        <w:tc>
          <w:tcPr>
            <w:tcW w:w="2515" w:type="dxa"/>
          </w:tcPr>
          <w:p w14:paraId="000003F1" w14:textId="77777777" w:rsidR="009F1887" w:rsidRDefault="00790D5B">
            <w:r>
              <w:t xml:space="preserve">Construction activities related to demolition of existing structures or facilities (if needed) </w:t>
            </w:r>
          </w:p>
        </w:tc>
        <w:tc>
          <w:tcPr>
            <w:tcW w:w="2880" w:type="dxa"/>
          </w:tcPr>
          <w:p w14:paraId="000003F2" w14:textId="77777777" w:rsidR="009F1887" w:rsidRDefault="009F1887"/>
        </w:tc>
        <w:tc>
          <w:tcPr>
            <w:tcW w:w="3933" w:type="dxa"/>
          </w:tcPr>
          <w:p w14:paraId="000003F3" w14:textId="77777777" w:rsidR="009F1887" w:rsidRDefault="009F1887"/>
        </w:tc>
        <w:tc>
          <w:tcPr>
            <w:tcW w:w="2187" w:type="dxa"/>
          </w:tcPr>
          <w:p w14:paraId="000003F4" w14:textId="77777777" w:rsidR="009F1887" w:rsidRDefault="009F1887">
            <w:pPr>
              <w:rPr>
                <w:b/>
              </w:rPr>
            </w:pPr>
          </w:p>
        </w:tc>
        <w:tc>
          <w:tcPr>
            <w:tcW w:w="1260" w:type="dxa"/>
          </w:tcPr>
          <w:p w14:paraId="000003F5" w14:textId="77777777" w:rsidR="009F1887" w:rsidRDefault="009F1887">
            <w:pPr>
              <w:rPr>
                <w:b/>
              </w:rPr>
            </w:pPr>
          </w:p>
        </w:tc>
        <w:tc>
          <w:tcPr>
            <w:tcW w:w="1615" w:type="dxa"/>
          </w:tcPr>
          <w:p w14:paraId="000003F6" w14:textId="77777777" w:rsidR="009F1887" w:rsidRDefault="009F1887">
            <w:pPr>
              <w:rPr>
                <w:b/>
              </w:rPr>
            </w:pPr>
          </w:p>
        </w:tc>
      </w:tr>
      <w:tr w:rsidR="009F1887" w14:paraId="007CF4BF" w14:textId="77777777">
        <w:tc>
          <w:tcPr>
            <w:tcW w:w="2515" w:type="dxa"/>
          </w:tcPr>
          <w:p w14:paraId="000003F7" w14:textId="77777777" w:rsidR="009F1887" w:rsidRDefault="00790D5B">
            <w:r>
              <w:rPr>
                <w:i/>
              </w:rPr>
              <w:t>To be expanded</w:t>
            </w:r>
          </w:p>
        </w:tc>
        <w:tc>
          <w:tcPr>
            <w:tcW w:w="2880" w:type="dxa"/>
          </w:tcPr>
          <w:p w14:paraId="000003F8" w14:textId="77777777" w:rsidR="009F1887" w:rsidRDefault="009F1887"/>
        </w:tc>
        <w:tc>
          <w:tcPr>
            <w:tcW w:w="3933" w:type="dxa"/>
          </w:tcPr>
          <w:p w14:paraId="000003F9" w14:textId="77777777" w:rsidR="009F1887" w:rsidRDefault="009F1887"/>
        </w:tc>
        <w:tc>
          <w:tcPr>
            <w:tcW w:w="2187" w:type="dxa"/>
          </w:tcPr>
          <w:p w14:paraId="000003FA" w14:textId="77777777" w:rsidR="009F1887" w:rsidRDefault="009F1887">
            <w:pPr>
              <w:rPr>
                <w:b/>
              </w:rPr>
            </w:pPr>
          </w:p>
        </w:tc>
        <w:tc>
          <w:tcPr>
            <w:tcW w:w="1260" w:type="dxa"/>
          </w:tcPr>
          <w:p w14:paraId="000003FB" w14:textId="77777777" w:rsidR="009F1887" w:rsidRDefault="009F1887">
            <w:pPr>
              <w:rPr>
                <w:b/>
              </w:rPr>
            </w:pPr>
          </w:p>
        </w:tc>
        <w:tc>
          <w:tcPr>
            <w:tcW w:w="1615" w:type="dxa"/>
          </w:tcPr>
          <w:p w14:paraId="000003FC" w14:textId="77777777" w:rsidR="009F1887" w:rsidRDefault="009F1887">
            <w:pPr>
              <w:rPr>
                <w:b/>
              </w:rPr>
            </w:pPr>
          </w:p>
        </w:tc>
      </w:tr>
    </w:tbl>
    <w:p w14:paraId="000003FD" w14:textId="77777777" w:rsidR="009F1887" w:rsidRDefault="009F1887">
      <w:pPr>
        <w:rPr>
          <w:rFonts w:ascii="Times New Roman" w:eastAsia="Times New Roman" w:hAnsi="Times New Roman" w:cs="Times New Roman"/>
          <w:b/>
        </w:rPr>
      </w:pPr>
    </w:p>
    <w:p w14:paraId="000003FE" w14:textId="77777777" w:rsidR="009F1887" w:rsidRDefault="009F1887">
      <w:pPr>
        <w:rPr>
          <w:rFonts w:ascii="Times New Roman" w:eastAsia="Times New Roman" w:hAnsi="Times New Roman" w:cs="Times New Roman"/>
          <w:b/>
        </w:rPr>
      </w:pPr>
    </w:p>
    <w:p w14:paraId="000003FF" w14:textId="77777777" w:rsidR="009F1887" w:rsidRDefault="009F1887"/>
    <w:p w14:paraId="00000400" w14:textId="77777777" w:rsidR="009F1887" w:rsidRDefault="009F1887"/>
    <w:p w14:paraId="00000401" w14:textId="77777777" w:rsidR="009F1887" w:rsidRDefault="00790D5B">
      <w:r>
        <w:br w:type="page"/>
      </w:r>
    </w:p>
    <w:p w14:paraId="00000402" w14:textId="77777777" w:rsidR="009F1887" w:rsidRDefault="00790D5B">
      <w:pPr>
        <w:rPr>
          <w:rFonts w:ascii="Times New Roman" w:eastAsia="Times New Roman" w:hAnsi="Times New Roman" w:cs="Times New Roman"/>
          <w:b/>
        </w:rPr>
      </w:pPr>
      <w:r>
        <w:rPr>
          <w:rFonts w:ascii="Times New Roman" w:eastAsia="Times New Roman" w:hAnsi="Times New Roman" w:cs="Times New Roman"/>
          <w:b/>
        </w:rPr>
        <w:lastRenderedPageBreak/>
        <w:t>Table 3 - Environmental and Social Risks and Mitigation Measures during Operational Stage</w:t>
      </w:r>
    </w:p>
    <w:tbl>
      <w:tblPr>
        <w:tblStyle w:val="a4"/>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627"/>
        <w:gridCol w:w="3330"/>
        <w:gridCol w:w="2070"/>
        <w:gridCol w:w="1350"/>
        <w:gridCol w:w="1615"/>
      </w:tblGrid>
      <w:tr w:rsidR="009F1887" w14:paraId="54C5EF5E" w14:textId="77777777">
        <w:tc>
          <w:tcPr>
            <w:tcW w:w="2398" w:type="dxa"/>
            <w:shd w:val="clear" w:color="auto" w:fill="FFC000"/>
          </w:tcPr>
          <w:p w14:paraId="00000403" w14:textId="77777777" w:rsidR="009F1887" w:rsidRDefault="00790D5B">
            <w:pPr>
              <w:jc w:val="center"/>
              <w:rPr>
                <w:b/>
              </w:rPr>
            </w:pPr>
            <w:r>
              <w:rPr>
                <w:b/>
              </w:rPr>
              <w:t>Activities</w:t>
            </w:r>
          </w:p>
        </w:tc>
        <w:tc>
          <w:tcPr>
            <w:tcW w:w="3627" w:type="dxa"/>
            <w:shd w:val="clear" w:color="auto" w:fill="FFC000"/>
          </w:tcPr>
          <w:p w14:paraId="00000404" w14:textId="77777777" w:rsidR="009F1887" w:rsidRDefault="00790D5B">
            <w:pPr>
              <w:jc w:val="center"/>
              <w:rPr>
                <w:b/>
              </w:rPr>
            </w:pPr>
            <w:r>
              <w:rPr>
                <w:b/>
              </w:rPr>
              <w:t>Potential E&amp;S Risks and Impacts</w:t>
            </w:r>
          </w:p>
        </w:tc>
        <w:tc>
          <w:tcPr>
            <w:tcW w:w="3330" w:type="dxa"/>
            <w:shd w:val="clear" w:color="auto" w:fill="FFC000"/>
          </w:tcPr>
          <w:p w14:paraId="00000405" w14:textId="77777777" w:rsidR="009F1887" w:rsidRDefault="00790D5B">
            <w:pPr>
              <w:jc w:val="center"/>
              <w:rPr>
                <w:b/>
              </w:rPr>
            </w:pPr>
            <w:r>
              <w:rPr>
                <w:b/>
              </w:rPr>
              <w:t>Proposed Mitigation Measures</w:t>
            </w:r>
          </w:p>
        </w:tc>
        <w:tc>
          <w:tcPr>
            <w:tcW w:w="2070" w:type="dxa"/>
            <w:shd w:val="clear" w:color="auto" w:fill="FFC000"/>
          </w:tcPr>
          <w:p w14:paraId="00000406" w14:textId="77777777" w:rsidR="009F1887" w:rsidRDefault="00790D5B">
            <w:pPr>
              <w:jc w:val="center"/>
              <w:rPr>
                <w:b/>
              </w:rPr>
            </w:pPr>
            <w:r>
              <w:rPr>
                <w:b/>
              </w:rPr>
              <w:t>Responsibilities</w:t>
            </w:r>
          </w:p>
        </w:tc>
        <w:tc>
          <w:tcPr>
            <w:tcW w:w="1350" w:type="dxa"/>
            <w:shd w:val="clear" w:color="auto" w:fill="FFC000"/>
          </w:tcPr>
          <w:p w14:paraId="00000407" w14:textId="77777777" w:rsidR="009F1887" w:rsidRDefault="00790D5B">
            <w:pPr>
              <w:jc w:val="center"/>
              <w:rPr>
                <w:b/>
              </w:rPr>
            </w:pPr>
            <w:r>
              <w:rPr>
                <w:b/>
              </w:rPr>
              <w:t>Timeline</w:t>
            </w:r>
          </w:p>
        </w:tc>
        <w:tc>
          <w:tcPr>
            <w:tcW w:w="1615" w:type="dxa"/>
            <w:shd w:val="clear" w:color="auto" w:fill="FFC000"/>
          </w:tcPr>
          <w:p w14:paraId="00000408" w14:textId="77777777" w:rsidR="009F1887" w:rsidRDefault="00790D5B">
            <w:pPr>
              <w:jc w:val="center"/>
              <w:rPr>
                <w:b/>
              </w:rPr>
            </w:pPr>
            <w:r>
              <w:rPr>
                <w:b/>
              </w:rPr>
              <w:t>Budget</w:t>
            </w:r>
          </w:p>
        </w:tc>
      </w:tr>
      <w:tr w:rsidR="009F1887" w14:paraId="487CDAE4" w14:textId="77777777">
        <w:tc>
          <w:tcPr>
            <w:tcW w:w="2398" w:type="dxa"/>
          </w:tcPr>
          <w:p w14:paraId="00000409" w14:textId="77777777" w:rsidR="009F1887" w:rsidRDefault="00790D5B">
            <w:pPr>
              <w:rPr>
                <w:b/>
              </w:rPr>
            </w:pPr>
            <w:r>
              <w:t>General HCF operation – Environment</w:t>
            </w:r>
          </w:p>
        </w:tc>
        <w:tc>
          <w:tcPr>
            <w:tcW w:w="3627" w:type="dxa"/>
          </w:tcPr>
          <w:p w14:paraId="0000040A" w14:textId="77777777" w:rsidR="009F1887" w:rsidRDefault="00790D5B">
            <w:pPr>
              <w:rPr>
                <w:b/>
              </w:rPr>
            </w:pPr>
            <w:r>
              <w:t>General wastes, wastewater and air emissions</w:t>
            </w:r>
          </w:p>
        </w:tc>
        <w:tc>
          <w:tcPr>
            <w:tcW w:w="3330" w:type="dxa"/>
          </w:tcPr>
          <w:p w14:paraId="0000040B" w14:textId="77777777" w:rsidR="009F1887" w:rsidRDefault="009F1887">
            <w:pPr>
              <w:rPr>
                <w:b/>
              </w:rPr>
            </w:pPr>
          </w:p>
        </w:tc>
        <w:tc>
          <w:tcPr>
            <w:tcW w:w="2070" w:type="dxa"/>
          </w:tcPr>
          <w:p w14:paraId="0000040C" w14:textId="77777777" w:rsidR="009F1887" w:rsidRDefault="009F1887">
            <w:pPr>
              <w:rPr>
                <w:b/>
              </w:rPr>
            </w:pPr>
          </w:p>
        </w:tc>
        <w:tc>
          <w:tcPr>
            <w:tcW w:w="1350" w:type="dxa"/>
          </w:tcPr>
          <w:p w14:paraId="0000040D" w14:textId="77777777" w:rsidR="009F1887" w:rsidRDefault="009F1887">
            <w:pPr>
              <w:rPr>
                <w:b/>
              </w:rPr>
            </w:pPr>
          </w:p>
        </w:tc>
        <w:tc>
          <w:tcPr>
            <w:tcW w:w="1615" w:type="dxa"/>
          </w:tcPr>
          <w:p w14:paraId="0000040E" w14:textId="77777777" w:rsidR="009F1887" w:rsidRDefault="009F1887">
            <w:pPr>
              <w:rPr>
                <w:b/>
              </w:rPr>
            </w:pPr>
          </w:p>
        </w:tc>
      </w:tr>
      <w:tr w:rsidR="009F1887" w14:paraId="78E637CA" w14:textId="77777777">
        <w:tc>
          <w:tcPr>
            <w:tcW w:w="2398" w:type="dxa"/>
          </w:tcPr>
          <w:p w14:paraId="0000040F" w14:textId="77777777" w:rsidR="009F1887" w:rsidRDefault="00790D5B">
            <w:pPr>
              <w:rPr>
                <w:b/>
              </w:rPr>
            </w:pPr>
            <w:r>
              <w:t>General HCF operation – OHS issues</w:t>
            </w:r>
          </w:p>
        </w:tc>
        <w:tc>
          <w:tcPr>
            <w:tcW w:w="3627" w:type="dxa"/>
          </w:tcPr>
          <w:p w14:paraId="00000410"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Physical hazards;</w:t>
            </w:r>
          </w:p>
          <w:p w14:paraId="00000411"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Electrical and explosive hazards;</w:t>
            </w:r>
          </w:p>
          <w:p w14:paraId="00000412"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Fire;</w:t>
            </w:r>
          </w:p>
          <w:p w14:paraId="00000413"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Chemical use;</w:t>
            </w:r>
          </w:p>
          <w:p w14:paraId="00000414"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Ergonomic hazard;</w:t>
            </w:r>
          </w:p>
          <w:p w14:paraId="00000415"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Radioactive hazard</w:t>
            </w:r>
          </w:p>
        </w:tc>
        <w:tc>
          <w:tcPr>
            <w:tcW w:w="3330" w:type="dxa"/>
          </w:tcPr>
          <w:p w14:paraId="00000416" w14:textId="77777777" w:rsidR="009F1887" w:rsidRDefault="009F1887">
            <w:pPr>
              <w:rPr>
                <w:b/>
              </w:rPr>
            </w:pPr>
          </w:p>
        </w:tc>
        <w:tc>
          <w:tcPr>
            <w:tcW w:w="2070" w:type="dxa"/>
          </w:tcPr>
          <w:p w14:paraId="00000417" w14:textId="77777777" w:rsidR="009F1887" w:rsidRDefault="009F1887">
            <w:pPr>
              <w:rPr>
                <w:b/>
              </w:rPr>
            </w:pPr>
          </w:p>
        </w:tc>
        <w:tc>
          <w:tcPr>
            <w:tcW w:w="1350" w:type="dxa"/>
          </w:tcPr>
          <w:p w14:paraId="00000418" w14:textId="77777777" w:rsidR="009F1887" w:rsidRDefault="009F1887">
            <w:pPr>
              <w:rPr>
                <w:b/>
              </w:rPr>
            </w:pPr>
          </w:p>
        </w:tc>
        <w:tc>
          <w:tcPr>
            <w:tcW w:w="1615" w:type="dxa"/>
          </w:tcPr>
          <w:p w14:paraId="00000419" w14:textId="77777777" w:rsidR="009F1887" w:rsidRDefault="009F1887">
            <w:pPr>
              <w:rPr>
                <w:b/>
              </w:rPr>
            </w:pPr>
          </w:p>
        </w:tc>
      </w:tr>
      <w:tr w:rsidR="009F1887" w14:paraId="32F72DDB" w14:textId="77777777">
        <w:tc>
          <w:tcPr>
            <w:tcW w:w="2398" w:type="dxa"/>
          </w:tcPr>
          <w:p w14:paraId="0000041A" w14:textId="77777777" w:rsidR="009F1887" w:rsidRDefault="00790D5B">
            <w:pPr>
              <w:rPr>
                <w:b/>
              </w:rPr>
            </w:pPr>
            <w:r>
              <w:t>HCF operation – Labor issue</w:t>
            </w:r>
          </w:p>
        </w:tc>
        <w:tc>
          <w:tcPr>
            <w:tcW w:w="3627" w:type="dxa"/>
          </w:tcPr>
          <w:p w14:paraId="0000041B" w14:textId="77777777" w:rsidR="009F1887" w:rsidRDefault="009F1887">
            <w:pPr>
              <w:rPr>
                <w:b/>
              </w:rPr>
            </w:pPr>
          </w:p>
        </w:tc>
        <w:tc>
          <w:tcPr>
            <w:tcW w:w="3330" w:type="dxa"/>
          </w:tcPr>
          <w:p w14:paraId="0000041C" w14:textId="77777777" w:rsidR="009F1887" w:rsidRDefault="009F1887">
            <w:pPr>
              <w:rPr>
                <w:b/>
              </w:rPr>
            </w:pPr>
          </w:p>
        </w:tc>
        <w:tc>
          <w:tcPr>
            <w:tcW w:w="2070" w:type="dxa"/>
          </w:tcPr>
          <w:p w14:paraId="0000041D" w14:textId="77777777" w:rsidR="009F1887" w:rsidRDefault="009F1887">
            <w:pPr>
              <w:rPr>
                <w:b/>
              </w:rPr>
            </w:pPr>
          </w:p>
        </w:tc>
        <w:tc>
          <w:tcPr>
            <w:tcW w:w="1350" w:type="dxa"/>
          </w:tcPr>
          <w:p w14:paraId="0000041E" w14:textId="77777777" w:rsidR="009F1887" w:rsidRDefault="009F1887">
            <w:pPr>
              <w:rPr>
                <w:b/>
              </w:rPr>
            </w:pPr>
          </w:p>
        </w:tc>
        <w:tc>
          <w:tcPr>
            <w:tcW w:w="1615" w:type="dxa"/>
          </w:tcPr>
          <w:p w14:paraId="0000041F" w14:textId="77777777" w:rsidR="009F1887" w:rsidRDefault="009F1887">
            <w:pPr>
              <w:rPr>
                <w:b/>
              </w:rPr>
            </w:pPr>
          </w:p>
        </w:tc>
      </w:tr>
      <w:tr w:rsidR="009F1887" w14:paraId="4FA6EC92" w14:textId="77777777">
        <w:tc>
          <w:tcPr>
            <w:tcW w:w="2398" w:type="dxa"/>
          </w:tcPr>
          <w:p w14:paraId="00000420" w14:textId="77777777" w:rsidR="009F1887" w:rsidRDefault="00790D5B">
            <w:pPr>
              <w:rPr>
                <w:b/>
              </w:rPr>
            </w:pPr>
            <w:r>
              <w:t>HCF operation - considerations for differentiated treatment for groups with different needs (e.g. the elderly, those with preexisting conditions, the very young, people with disabilities)</w:t>
            </w:r>
          </w:p>
        </w:tc>
        <w:tc>
          <w:tcPr>
            <w:tcW w:w="3627" w:type="dxa"/>
          </w:tcPr>
          <w:p w14:paraId="00000421" w14:textId="77777777" w:rsidR="009F1887" w:rsidRDefault="009F1887">
            <w:pPr>
              <w:rPr>
                <w:b/>
              </w:rPr>
            </w:pPr>
          </w:p>
        </w:tc>
        <w:tc>
          <w:tcPr>
            <w:tcW w:w="3330" w:type="dxa"/>
          </w:tcPr>
          <w:p w14:paraId="00000422" w14:textId="77777777" w:rsidR="009F1887" w:rsidRDefault="009F1887">
            <w:pPr>
              <w:rPr>
                <w:b/>
              </w:rPr>
            </w:pPr>
          </w:p>
        </w:tc>
        <w:tc>
          <w:tcPr>
            <w:tcW w:w="2070" w:type="dxa"/>
          </w:tcPr>
          <w:p w14:paraId="00000423" w14:textId="77777777" w:rsidR="009F1887" w:rsidRDefault="009F1887">
            <w:pPr>
              <w:rPr>
                <w:b/>
              </w:rPr>
            </w:pPr>
          </w:p>
        </w:tc>
        <w:tc>
          <w:tcPr>
            <w:tcW w:w="1350" w:type="dxa"/>
          </w:tcPr>
          <w:p w14:paraId="00000424" w14:textId="77777777" w:rsidR="009F1887" w:rsidRDefault="009F1887">
            <w:pPr>
              <w:rPr>
                <w:b/>
              </w:rPr>
            </w:pPr>
          </w:p>
        </w:tc>
        <w:tc>
          <w:tcPr>
            <w:tcW w:w="1615" w:type="dxa"/>
          </w:tcPr>
          <w:p w14:paraId="00000425" w14:textId="77777777" w:rsidR="009F1887" w:rsidRDefault="009F1887">
            <w:pPr>
              <w:rPr>
                <w:b/>
              </w:rPr>
            </w:pPr>
          </w:p>
        </w:tc>
      </w:tr>
      <w:tr w:rsidR="009F1887" w14:paraId="51CE77DA" w14:textId="77777777">
        <w:tc>
          <w:tcPr>
            <w:tcW w:w="2398" w:type="dxa"/>
          </w:tcPr>
          <w:p w14:paraId="00000426" w14:textId="77777777" w:rsidR="009F1887" w:rsidRDefault="00790D5B">
            <w:pPr>
              <w:rPr>
                <w:b/>
              </w:rPr>
            </w:pPr>
            <w:r>
              <w:t xml:space="preserve">HCF operation – cleaning </w:t>
            </w:r>
          </w:p>
        </w:tc>
        <w:tc>
          <w:tcPr>
            <w:tcW w:w="3627" w:type="dxa"/>
          </w:tcPr>
          <w:p w14:paraId="00000427" w14:textId="77777777" w:rsidR="009F1887" w:rsidRDefault="009F1887">
            <w:pPr>
              <w:rPr>
                <w:b/>
              </w:rPr>
            </w:pPr>
          </w:p>
        </w:tc>
        <w:tc>
          <w:tcPr>
            <w:tcW w:w="3330" w:type="dxa"/>
          </w:tcPr>
          <w:p w14:paraId="00000428" w14:textId="77777777" w:rsidR="009F1887" w:rsidRDefault="00790D5B">
            <w:pPr>
              <w:numPr>
                <w:ilvl w:val="0"/>
                <w:numId w:val="15"/>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Provide cleaning staff with adequate cleaning equipment, materials and disinfectant. </w:t>
            </w:r>
          </w:p>
          <w:p w14:paraId="00000429" w14:textId="77777777" w:rsidR="009F1887" w:rsidRDefault="00790D5B">
            <w:pPr>
              <w:numPr>
                <w:ilvl w:val="0"/>
                <w:numId w:val="14"/>
              </w:numPr>
              <w:pBdr>
                <w:top w:val="nil"/>
                <w:left w:val="nil"/>
                <w:bottom w:val="nil"/>
                <w:right w:val="nil"/>
                <w:between w:val="nil"/>
              </w:pBdr>
              <w:spacing w:after="200" w:line="276" w:lineRule="auto"/>
              <w:jc w:val="both"/>
            </w:pPr>
            <w:r>
              <w:rPr>
                <w:rFonts w:ascii="Calibri" w:eastAsia="Calibri" w:hAnsi="Calibri" w:cs="Calibri"/>
                <w:color w:val="000000"/>
                <w:sz w:val="22"/>
                <w:szCs w:val="22"/>
              </w:rPr>
              <w:t>Review general cleaning systems, training cleaning staff on appropriate cleaning procedures and appropriate frequency in high use or high-risk areas.</w:t>
            </w:r>
          </w:p>
          <w:p w14:paraId="0000042A" w14:textId="77777777" w:rsidR="009F1887" w:rsidRDefault="00790D5B">
            <w:pPr>
              <w:numPr>
                <w:ilvl w:val="0"/>
                <w:numId w:val="15"/>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Where cleaners will be required to clean areas that have been or are suspected to have been contaminated with COVID-19, provide appropriate PPE: gowns or aprons, gloves, eye protection (masks, goggles or face screens) and boots or closed work shoes. If appropriate PPE is not available, provide best available alternatives.  </w:t>
            </w:r>
          </w:p>
          <w:p w14:paraId="0000042B" w14:textId="77777777" w:rsidR="009F1887" w:rsidRDefault="00790D5B">
            <w:pPr>
              <w:numPr>
                <w:ilvl w:val="0"/>
                <w:numId w:val="15"/>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Train cleaners in proper hygiene (including </w:t>
            </w:r>
            <w:r>
              <w:rPr>
                <w:rFonts w:ascii="Calibri" w:eastAsia="Calibri" w:hAnsi="Calibri" w:cs="Calibri"/>
                <w:color w:val="000000"/>
                <w:sz w:val="22"/>
                <w:szCs w:val="22"/>
              </w:rPr>
              <w:lastRenderedPageBreak/>
              <w:t xml:space="preserve">handwashing) prior to, during and after conducting cleaning activities; how to safely use PPE (where required); in waste control (including for used PPE and cleaning materials). </w:t>
            </w:r>
          </w:p>
          <w:p w14:paraId="0000042C" w14:textId="77777777" w:rsidR="009F1887" w:rsidRDefault="009F1887">
            <w:pPr>
              <w:rPr>
                <w:b/>
              </w:rPr>
            </w:pPr>
          </w:p>
        </w:tc>
        <w:tc>
          <w:tcPr>
            <w:tcW w:w="2070" w:type="dxa"/>
          </w:tcPr>
          <w:p w14:paraId="0000042D" w14:textId="77777777" w:rsidR="009F1887" w:rsidRDefault="009F1887">
            <w:pPr>
              <w:rPr>
                <w:b/>
              </w:rPr>
            </w:pPr>
          </w:p>
        </w:tc>
        <w:tc>
          <w:tcPr>
            <w:tcW w:w="1350" w:type="dxa"/>
          </w:tcPr>
          <w:p w14:paraId="0000042E" w14:textId="77777777" w:rsidR="009F1887" w:rsidRDefault="009F1887">
            <w:pPr>
              <w:rPr>
                <w:b/>
              </w:rPr>
            </w:pPr>
          </w:p>
        </w:tc>
        <w:tc>
          <w:tcPr>
            <w:tcW w:w="1615" w:type="dxa"/>
          </w:tcPr>
          <w:p w14:paraId="0000042F" w14:textId="77777777" w:rsidR="009F1887" w:rsidRDefault="009F1887">
            <w:pPr>
              <w:rPr>
                <w:b/>
              </w:rPr>
            </w:pPr>
          </w:p>
        </w:tc>
      </w:tr>
      <w:tr w:rsidR="009F1887" w14:paraId="78D8C5BA" w14:textId="77777777">
        <w:tc>
          <w:tcPr>
            <w:tcW w:w="2398" w:type="dxa"/>
          </w:tcPr>
          <w:p w14:paraId="00000430" w14:textId="77777777" w:rsidR="009F1887" w:rsidRDefault="00790D5B">
            <w:pPr>
              <w:rPr>
                <w:b/>
              </w:rPr>
            </w:pPr>
            <w:r>
              <w:t>HCF operation - Infection control and waste management plan</w:t>
            </w:r>
          </w:p>
        </w:tc>
        <w:tc>
          <w:tcPr>
            <w:tcW w:w="3627" w:type="dxa"/>
          </w:tcPr>
          <w:p w14:paraId="00000431" w14:textId="77777777" w:rsidR="009F1887" w:rsidRDefault="009F1887">
            <w:pPr>
              <w:rPr>
                <w:b/>
              </w:rPr>
            </w:pPr>
          </w:p>
        </w:tc>
        <w:tc>
          <w:tcPr>
            <w:tcW w:w="3330" w:type="dxa"/>
          </w:tcPr>
          <w:p w14:paraId="00000432" w14:textId="77777777" w:rsidR="009F1887" w:rsidRDefault="009F1887">
            <w:pPr>
              <w:rPr>
                <w:b/>
              </w:rPr>
            </w:pPr>
          </w:p>
        </w:tc>
        <w:tc>
          <w:tcPr>
            <w:tcW w:w="2070" w:type="dxa"/>
          </w:tcPr>
          <w:p w14:paraId="00000433" w14:textId="77777777" w:rsidR="009F1887" w:rsidRDefault="009F1887">
            <w:pPr>
              <w:rPr>
                <w:b/>
              </w:rPr>
            </w:pPr>
          </w:p>
        </w:tc>
        <w:tc>
          <w:tcPr>
            <w:tcW w:w="1350" w:type="dxa"/>
          </w:tcPr>
          <w:p w14:paraId="00000434" w14:textId="77777777" w:rsidR="009F1887" w:rsidRDefault="009F1887">
            <w:pPr>
              <w:rPr>
                <w:b/>
              </w:rPr>
            </w:pPr>
          </w:p>
        </w:tc>
        <w:tc>
          <w:tcPr>
            <w:tcW w:w="1615" w:type="dxa"/>
          </w:tcPr>
          <w:p w14:paraId="00000435" w14:textId="77777777" w:rsidR="009F1887" w:rsidRDefault="009F1887">
            <w:pPr>
              <w:rPr>
                <w:b/>
              </w:rPr>
            </w:pPr>
          </w:p>
        </w:tc>
      </w:tr>
      <w:tr w:rsidR="009F1887" w14:paraId="2F26611D" w14:textId="77777777">
        <w:tc>
          <w:tcPr>
            <w:tcW w:w="2398" w:type="dxa"/>
          </w:tcPr>
          <w:p w14:paraId="00000436" w14:textId="77777777" w:rsidR="009F1887" w:rsidRDefault="00790D5B">
            <w:pPr>
              <w:rPr>
                <w:b/>
              </w:rPr>
            </w:pPr>
            <w:r>
              <w:t>Waste minimization, reuse and recycling</w:t>
            </w:r>
          </w:p>
        </w:tc>
        <w:tc>
          <w:tcPr>
            <w:tcW w:w="3627" w:type="dxa"/>
          </w:tcPr>
          <w:p w14:paraId="00000437" w14:textId="77777777" w:rsidR="009F1887" w:rsidRDefault="00790D5B">
            <w:pPr>
              <w:rPr>
                <w:b/>
              </w:rPr>
            </w:pPr>
            <w:r>
              <w:t>Use of incinerators results in emission of dioxins, furans and particulate matter</w:t>
            </w:r>
          </w:p>
        </w:tc>
        <w:tc>
          <w:tcPr>
            <w:tcW w:w="3330" w:type="dxa"/>
          </w:tcPr>
          <w:p w14:paraId="00000438" w14:textId="77777777" w:rsidR="009F1887" w:rsidRDefault="00790D5B">
            <w:pPr>
              <w:numPr>
                <w:ilvl w:val="0"/>
                <w:numId w:val="12"/>
              </w:numPr>
              <w:pBdr>
                <w:top w:val="nil"/>
                <w:left w:val="nil"/>
                <w:bottom w:val="nil"/>
                <w:right w:val="nil"/>
                <w:between w:val="nil"/>
              </w:pBdr>
              <w:spacing w:line="276" w:lineRule="auto"/>
            </w:pPr>
            <w:r>
              <w:rPr>
                <w:rFonts w:ascii="Calibri" w:eastAsia="Calibri" w:hAnsi="Calibri" w:cs="Calibri"/>
                <w:color w:val="000000"/>
                <w:sz w:val="22"/>
                <w:szCs w:val="22"/>
              </w:rPr>
              <w:t>Where possible avoid the use of incinerators</w:t>
            </w:r>
          </w:p>
          <w:p w14:paraId="00000439" w14:textId="77777777" w:rsidR="009F1887" w:rsidRDefault="00790D5B">
            <w:pPr>
              <w:numPr>
                <w:ilvl w:val="0"/>
                <w:numId w:val="12"/>
              </w:numPr>
              <w:pBdr>
                <w:top w:val="nil"/>
                <w:left w:val="nil"/>
                <w:bottom w:val="nil"/>
                <w:right w:val="nil"/>
                <w:between w:val="nil"/>
              </w:pBdr>
              <w:spacing w:line="276" w:lineRule="auto"/>
              <w:jc w:val="both"/>
            </w:pPr>
            <w:r>
              <w:rPr>
                <w:rFonts w:ascii="Calibri" w:eastAsia="Calibri" w:hAnsi="Calibri" w:cs="Calibri"/>
                <w:color w:val="000000"/>
                <w:sz w:val="22"/>
                <w:szCs w:val="22"/>
              </w:rPr>
              <w:t>If small-scale incineration is the only option, this should be done using best practices, and plans should be in place to transition to alternative treatment as soon as practicable (such as steam treatment prior to disposal with sterile/non-infectious shredded waste and disposed of in suitable waste facilities)</w:t>
            </w:r>
          </w:p>
          <w:p w14:paraId="0000043A" w14:textId="77777777" w:rsidR="009F1887" w:rsidRDefault="00790D5B">
            <w:pPr>
              <w:numPr>
                <w:ilvl w:val="0"/>
                <w:numId w:val="12"/>
              </w:numPr>
              <w:pBdr>
                <w:top w:val="nil"/>
                <w:left w:val="nil"/>
                <w:bottom w:val="nil"/>
                <w:right w:val="nil"/>
                <w:between w:val="nil"/>
              </w:pBdr>
              <w:spacing w:line="276" w:lineRule="auto"/>
              <w:jc w:val="both"/>
            </w:pPr>
            <w:r>
              <w:rPr>
                <w:rFonts w:ascii="Calibri" w:eastAsia="Calibri" w:hAnsi="Calibri" w:cs="Calibri"/>
                <w:color w:val="000000"/>
                <w:sz w:val="22"/>
                <w:szCs w:val="22"/>
              </w:rPr>
              <w:t>Do not use single-chamber, drum and brick incinerators</w:t>
            </w:r>
          </w:p>
          <w:p w14:paraId="0000043B" w14:textId="77777777" w:rsidR="009F1887" w:rsidRDefault="00790D5B">
            <w:pPr>
              <w:numPr>
                <w:ilvl w:val="0"/>
                <w:numId w:val="12"/>
              </w:numPr>
              <w:pBdr>
                <w:top w:val="nil"/>
                <w:left w:val="nil"/>
                <w:bottom w:val="nil"/>
                <w:right w:val="nil"/>
                <w:between w:val="nil"/>
              </w:pBdr>
              <w:spacing w:after="200" w:line="276" w:lineRule="auto"/>
              <w:jc w:val="both"/>
              <w:rPr>
                <w:rFonts w:ascii="Calibri" w:eastAsia="Calibri" w:hAnsi="Calibri" w:cs="Calibri"/>
                <w:b/>
                <w:color w:val="000000"/>
                <w:sz w:val="22"/>
                <w:szCs w:val="22"/>
              </w:rPr>
            </w:pPr>
            <w:r>
              <w:rPr>
                <w:rFonts w:ascii="Calibri" w:eastAsia="Calibri" w:hAnsi="Calibri" w:cs="Calibri"/>
                <w:color w:val="000000"/>
                <w:sz w:val="22"/>
                <w:szCs w:val="22"/>
              </w:rPr>
              <w:t xml:space="preserve">If small-scale incinerators are used, adopt best practices to minimize operational impacts. </w:t>
            </w:r>
          </w:p>
        </w:tc>
        <w:tc>
          <w:tcPr>
            <w:tcW w:w="2070" w:type="dxa"/>
          </w:tcPr>
          <w:p w14:paraId="0000043C" w14:textId="77777777" w:rsidR="009F1887" w:rsidRDefault="009F1887">
            <w:pPr>
              <w:rPr>
                <w:b/>
              </w:rPr>
            </w:pPr>
          </w:p>
        </w:tc>
        <w:tc>
          <w:tcPr>
            <w:tcW w:w="1350" w:type="dxa"/>
          </w:tcPr>
          <w:p w14:paraId="0000043D" w14:textId="77777777" w:rsidR="009F1887" w:rsidRDefault="009F1887">
            <w:pPr>
              <w:rPr>
                <w:b/>
              </w:rPr>
            </w:pPr>
          </w:p>
        </w:tc>
        <w:tc>
          <w:tcPr>
            <w:tcW w:w="1615" w:type="dxa"/>
          </w:tcPr>
          <w:p w14:paraId="0000043E" w14:textId="77777777" w:rsidR="009F1887" w:rsidRDefault="009F1887">
            <w:pPr>
              <w:rPr>
                <w:b/>
              </w:rPr>
            </w:pPr>
          </w:p>
        </w:tc>
      </w:tr>
      <w:tr w:rsidR="009F1887" w14:paraId="6E6868C7" w14:textId="77777777">
        <w:tc>
          <w:tcPr>
            <w:tcW w:w="2398" w:type="dxa"/>
          </w:tcPr>
          <w:p w14:paraId="0000043F" w14:textId="77777777" w:rsidR="009F1887" w:rsidRDefault="00790D5B">
            <w:r>
              <w:t>Delivery and storage of specimen, samples, reagents, pharmaceuticals and medical supplies</w:t>
            </w:r>
          </w:p>
        </w:tc>
        <w:tc>
          <w:tcPr>
            <w:tcW w:w="3627" w:type="dxa"/>
          </w:tcPr>
          <w:p w14:paraId="00000440" w14:textId="77777777" w:rsidR="009F1887" w:rsidRDefault="009F1887"/>
        </w:tc>
        <w:tc>
          <w:tcPr>
            <w:tcW w:w="3330" w:type="dxa"/>
          </w:tcPr>
          <w:p w14:paraId="00000441"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42" w14:textId="77777777" w:rsidR="009F1887" w:rsidRDefault="009F1887">
            <w:pPr>
              <w:rPr>
                <w:b/>
              </w:rPr>
            </w:pPr>
          </w:p>
        </w:tc>
        <w:tc>
          <w:tcPr>
            <w:tcW w:w="1350" w:type="dxa"/>
          </w:tcPr>
          <w:p w14:paraId="00000443" w14:textId="77777777" w:rsidR="009F1887" w:rsidRDefault="009F1887">
            <w:pPr>
              <w:rPr>
                <w:b/>
              </w:rPr>
            </w:pPr>
          </w:p>
        </w:tc>
        <w:tc>
          <w:tcPr>
            <w:tcW w:w="1615" w:type="dxa"/>
          </w:tcPr>
          <w:p w14:paraId="00000444" w14:textId="77777777" w:rsidR="009F1887" w:rsidRDefault="009F1887">
            <w:pPr>
              <w:rPr>
                <w:b/>
              </w:rPr>
            </w:pPr>
          </w:p>
        </w:tc>
      </w:tr>
      <w:tr w:rsidR="009F1887" w14:paraId="368892EE" w14:textId="77777777">
        <w:tc>
          <w:tcPr>
            <w:tcW w:w="2398" w:type="dxa"/>
          </w:tcPr>
          <w:p w14:paraId="00000445" w14:textId="77777777" w:rsidR="009F1887" w:rsidRDefault="00790D5B">
            <w:r>
              <w:t>Storage and handling of specimen, samples, reagents, and infectious materials</w:t>
            </w:r>
          </w:p>
        </w:tc>
        <w:tc>
          <w:tcPr>
            <w:tcW w:w="3627" w:type="dxa"/>
          </w:tcPr>
          <w:p w14:paraId="00000446" w14:textId="77777777" w:rsidR="009F1887" w:rsidRDefault="009F1887"/>
        </w:tc>
        <w:tc>
          <w:tcPr>
            <w:tcW w:w="3330" w:type="dxa"/>
          </w:tcPr>
          <w:p w14:paraId="00000447"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48" w14:textId="77777777" w:rsidR="009F1887" w:rsidRDefault="009F1887">
            <w:pPr>
              <w:rPr>
                <w:b/>
              </w:rPr>
            </w:pPr>
          </w:p>
        </w:tc>
        <w:tc>
          <w:tcPr>
            <w:tcW w:w="1350" w:type="dxa"/>
          </w:tcPr>
          <w:p w14:paraId="00000449" w14:textId="77777777" w:rsidR="009F1887" w:rsidRDefault="009F1887">
            <w:pPr>
              <w:rPr>
                <w:b/>
              </w:rPr>
            </w:pPr>
          </w:p>
        </w:tc>
        <w:tc>
          <w:tcPr>
            <w:tcW w:w="1615" w:type="dxa"/>
          </w:tcPr>
          <w:p w14:paraId="0000044A" w14:textId="77777777" w:rsidR="009F1887" w:rsidRDefault="009F1887">
            <w:pPr>
              <w:rPr>
                <w:b/>
              </w:rPr>
            </w:pPr>
          </w:p>
        </w:tc>
      </w:tr>
      <w:tr w:rsidR="009F1887" w14:paraId="30797906" w14:textId="77777777">
        <w:tc>
          <w:tcPr>
            <w:tcW w:w="2398" w:type="dxa"/>
          </w:tcPr>
          <w:p w14:paraId="0000044B" w14:textId="77777777" w:rsidR="009F1887" w:rsidRDefault="00790D5B">
            <w:r>
              <w:t>Waste segregation, packaging, color coding and labeling</w:t>
            </w:r>
          </w:p>
        </w:tc>
        <w:tc>
          <w:tcPr>
            <w:tcW w:w="3627" w:type="dxa"/>
          </w:tcPr>
          <w:p w14:paraId="0000044C" w14:textId="77777777" w:rsidR="009F1887" w:rsidRDefault="009F1887"/>
        </w:tc>
        <w:tc>
          <w:tcPr>
            <w:tcW w:w="3330" w:type="dxa"/>
          </w:tcPr>
          <w:p w14:paraId="0000044D"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4E" w14:textId="77777777" w:rsidR="009F1887" w:rsidRDefault="009F1887">
            <w:pPr>
              <w:rPr>
                <w:b/>
              </w:rPr>
            </w:pPr>
          </w:p>
        </w:tc>
        <w:tc>
          <w:tcPr>
            <w:tcW w:w="1350" w:type="dxa"/>
          </w:tcPr>
          <w:p w14:paraId="0000044F" w14:textId="77777777" w:rsidR="009F1887" w:rsidRDefault="009F1887">
            <w:pPr>
              <w:rPr>
                <w:b/>
              </w:rPr>
            </w:pPr>
          </w:p>
        </w:tc>
        <w:tc>
          <w:tcPr>
            <w:tcW w:w="1615" w:type="dxa"/>
          </w:tcPr>
          <w:p w14:paraId="00000450" w14:textId="77777777" w:rsidR="009F1887" w:rsidRDefault="009F1887">
            <w:pPr>
              <w:rPr>
                <w:b/>
              </w:rPr>
            </w:pPr>
          </w:p>
        </w:tc>
      </w:tr>
      <w:tr w:rsidR="009F1887" w14:paraId="3F249660" w14:textId="77777777">
        <w:tc>
          <w:tcPr>
            <w:tcW w:w="2398" w:type="dxa"/>
          </w:tcPr>
          <w:p w14:paraId="00000451" w14:textId="77777777" w:rsidR="009F1887" w:rsidRDefault="00790D5B">
            <w:r>
              <w:t>Onsite collection and transport</w:t>
            </w:r>
          </w:p>
        </w:tc>
        <w:tc>
          <w:tcPr>
            <w:tcW w:w="3627" w:type="dxa"/>
          </w:tcPr>
          <w:p w14:paraId="00000452" w14:textId="77777777" w:rsidR="009F1887" w:rsidRDefault="009F1887"/>
        </w:tc>
        <w:tc>
          <w:tcPr>
            <w:tcW w:w="3330" w:type="dxa"/>
          </w:tcPr>
          <w:p w14:paraId="00000453"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54" w14:textId="77777777" w:rsidR="009F1887" w:rsidRDefault="009F1887">
            <w:pPr>
              <w:rPr>
                <w:b/>
              </w:rPr>
            </w:pPr>
          </w:p>
        </w:tc>
        <w:tc>
          <w:tcPr>
            <w:tcW w:w="1350" w:type="dxa"/>
          </w:tcPr>
          <w:p w14:paraId="00000455" w14:textId="77777777" w:rsidR="009F1887" w:rsidRDefault="009F1887">
            <w:pPr>
              <w:rPr>
                <w:b/>
              </w:rPr>
            </w:pPr>
          </w:p>
        </w:tc>
        <w:tc>
          <w:tcPr>
            <w:tcW w:w="1615" w:type="dxa"/>
          </w:tcPr>
          <w:p w14:paraId="00000456" w14:textId="77777777" w:rsidR="009F1887" w:rsidRDefault="009F1887">
            <w:pPr>
              <w:rPr>
                <w:b/>
              </w:rPr>
            </w:pPr>
          </w:p>
        </w:tc>
      </w:tr>
      <w:tr w:rsidR="009F1887" w14:paraId="79A9A761" w14:textId="77777777">
        <w:tc>
          <w:tcPr>
            <w:tcW w:w="2398" w:type="dxa"/>
          </w:tcPr>
          <w:p w14:paraId="00000457" w14:textId="77777777" w:rsidR="009F1887" w:rsidRDefault="00790D5B">
            <w:r>
              <w:t>Waste storage</w:t>
            </w:r>
          </w:p>
        </w:tc>
        <w:tc>
          <w:tcPr>
            <w:tcW w:w="3627" w:type="dxa"/>
          </w:tcPr>
          <w:p w14:paraId="00000458" w14:textId="77777777" w:rsidR="009F1887" w:rsidRDefault="009F1887"/>
        </w:tc>
        <w:tc>
          <w:tcPr>
            <w:tcW w:w="3330" w:type="dxa"/>
          </w:tcPr>
          <w:p w14:paraId="00000459"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5A" w14:textId="77777777" w:rsidR="009F1887" w:rsidRDefault="009F1887">
            <w:pPr>
              <w:rPr>
                <w:b/>
              </w:rPr>
            </w:pPr>
          </w:p>
        </w:tc>
        <w:tc>
          <w:tcPr>
            <w:tcW w:w="1350" w:type="dxa"/>
          </w:tcPr>
          <w:p w14:paraId="0000045B" w14:textId="77777777" w:rsidR="009F1887" w:rsidRDefault="009F1887">
            <w:pPr>
              <w:rPr>
                <w:b/>
              </w:rPr>
            </w:pPr>
          </w:p>
        </w:tc>
        <w:tc>
          <w:tcPr>
            <w:tcW w:w="1615" w:type="dxa"/>
          </w:tcPr>
          <w:p w14:paraId="0000045C" w14:textId="77777777" w:rsidR="009F1887" w:rsidRDefault="009F1887">
            <w:pPr>
              <w:rPr>
                <w:b/>
              </w:rPr>
            </w:pPr>
          </w:p>
        </w:tc>
      </w:tr>
      <w:tr w:rsidR="009F1887" w14:paraId="7C873184" w14:textId="77777777">
        <w:tc>
          <w:tcPr>
            <w:tcW w:w="2398" w:type="dxa"/>
          </w:tcPr>
          <w:p w14:paraId="0000045D" w14:textId="77777777" w:rsidR="009F1887" w:rsidRDefault="00790D5B">
            <w:r>
              <w:t>Onsite waste treatment and disposal</w:t>
            </w:r>
          </w:p>
        </w:tc>
        <w:tc>
          <w:tcPr>
            <w:tcW w:w="3627" w:type="dxa"/>
          </w:tcPr>
          <w:p w14:paraId="0000045E" w14:textId="77777777" w:rsidR="009F1887" w:rsidRDefault="009F1887"/>
        </w:tc>
        <w:tc>
          <w:tcPr>
            <w:tcW w:w="3330" w:type="dxa"/>
          </w:tcPr>
          <w:p w14:paraId="0000045F"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60" w14:textId="77777777" w:rsidR="009F1887" w:rsidRDefault="009F1887">
            <w:pPr>
              <w:rPr>
                <w:b/>
              </w:rPr>
            </w:pPr>
          </w:p>
        </w:tc>
        <w:tc>
          <w:tcPr>
            <w:tcW w:w="1350" w:type="dxa"/>
          </w:tcPr>
          <w:p w14:paraId="00000461" w14:textId="77777777" w:rsidR="009F1887" w:rsidRDefault="009F1887">
            <w:pPr>
              <w:rPr>
                <w:b/>
              </w:rPr>
            </w:pPr>
          </w:p>
        </w:tc>
        <w:tc>
          <w:tcPr>
            <w:tcW w:w="1615" w:type="dxa"/>
          </w:tcPr>
          <w:p w14:paraId="00000462" w14:textId="77777777" w:rsidR="009F1887" w:rsidRDefault="009F1887">
            <w:pPr>
              <w:rPr>
                <w:b/>
              </w:rPr>
            </w:pPr>
          </w:p>
        </w:tc>
      </w:tr>
      <w:tr w:rsidR="009F1887" w14:paraId="698389C4" w14:textId="77777777">
        <w:tc>
          <w:tcPr>
            <w:tcW w:w="2398" w:type="dxa"/>
          </w:tcPr>
          <w:p w14:paraId="00000463" w14:textId="77777777" w:rsidR="009F1887" w:rsidRDefault="00790D5B">
            <w:r>
              <w:t xml:space="preserve">Waste transportation to and disposal in offsite </w:t>
            </w:r>
            <w:r>
              <w:lastRenderedPageBreak/>
              <w:t xml:space="preserve">treatment and disposal facilities </w:t>
            </w:r>
          </w:p>
        </w:tc>
        <w:tc>
          <w:tcPr>
            <w:tcW w:w="3627" w:type="dxa"/>
          </w:tcPr>
          <w:p w14:paraId="00000464" w14:textId="77777777" w:rsidR="009F1887" w:rsidRDefault="009F1887"/>
        </w:tc>
        <w:tc>
          <w:tcPr>
            <w:tcW w:w="3330" w:type="dxa"/>
          </w:tcPr>
          <w:p w14:paraId="00000465"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66" w14:textId="77777777" w:rsidR="009F1887" w:rsidRDefault="009F1887">
            <w:pPr>
              <w:rPr>
                <w:b/>
              </w:rPr>
            </w:pPr>
          </w:p>
        </w:tc>
        <w:tc>
          <w:tcPr>
            <w:tcW w:w="1350" w:type="dxa"/>
          </w:tcPr>
          <w:p w14:paraId="00000467" w14:textId="77777777" w:rsidR="009F1887" w:rsidRDefault="009F1887">
            <w:pPr>
              <w:rPr>
                <w:b/>
              </w:rPr>
            </w:pPr>
          </w:p>
        </w:tc>
        <w:tc>
          <w:tcPr>
            <w:tcW w:w="1615" w:type="dxa"/>
          </w:tcPr>
          <w:p w14:paraId="00000468" w14:textId="77777777" w:rsidR="009F1887" w:rsidRDefault="009F1887">
            <w:pPr>
              <w:rPr>
                <w:b/>
              </w:rPr>
            </w:pPr>
          </w:p>
        </w:tc>
      </w:tr>
      <w:tr w:rsidR="009F1887" w14:paraId="764904EF" w14:textId="77777777">
        <w:tc>
          <w:tcPr>
            <w:tcW w:w="2398" w:type="dxa"/>
          </w:tcPr>
          <w:p w14:paraId="00000469" w14:textId="77777777" w:rsidR="009F1887" w:rsidRDefault="00790D5B">
            <w:r>
              <w:t>Transportation and disposal at offsite waste management facilities</w:t>
            </w:r>
          </w:p>
        </w:tc>
        <w:tc>
          <w:tcPr>
            <w:tcW w:w="3627" w:type="dxa"/>
          </w:tcPr>
          <w:p w14:paraId="0000046A" w14:textId="77777777" w:rsidR="009F1887" w:rsidRDefault="009F1887"/>
        </w:tc>
        <w:tc>
          <w:tcPr>
            <w:tcW w:w="3330" w:type="dxa"/>
          </w:tcPr>
          <w:p w14:paraId="0000046B"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6C" w14:textId="77777777" w:rsidR="009F1887" w:rsidRDefault="009F1887">
            <w:pPr>
              <w:rPr>
                <w:b/>
              </w:rPr>
            </w:pPr>
          </w:p>
        </w:tc>
        <w:tc>
          <w:tcPr>
            <w:tcW w:w="1350" w:type="dxa"/>
          </w:tcPr>
          <w:p w14:paraId="0000046D" w14:textId="77777777" w:rsidR="009F1887" w:rsidRDefault="009F1887">
            <w:pPr>
              <w:rPr>
                <w:b/>
              </w:rPr>
            </w:pPr>
          </w:p>
        </w:tc>
        <w:tc>
          <w:tcPr>
            <w:tcW w:w="1615" w:type="dxa"/>
          </w:tcPr>
          <w:p w14:paraId="0000046E" w14:textId="77777777" w:rsidR="009F1887" w:rsidRDefault="009F1887">
            <w:pPr>
              <w:rPr>
                <w:b/>
              </w:rPr>
            </w:pPr>
          </w:p>
        </w:tc>
      </w:tr>
      <w:tr w:rsidR="009F1887" w14:paraId="6A4F31C5" w14:textId="77777777">
        <w:tc>
          <w:tcPr>
            <w:tcW w:w="2398" w:type="dxa"/>
          </w:tcPr>
          <w:p w14:paraId="0000046F" w14:textId="77777777" w:rsidR="009F1887" w:rsidRDefault="00790D5B">
            <w:r>
              <w:t>HCF operation – transboundary movement of specimen, samples, reagents, medical equipment, and infectious materials</w:t>
            </w:r>
          </w:p>
        </w:tc>
        <w:tc>
          <w:tcPr>
            <w:tcW w:w="3627" w:type="dxa"/>
          </w:tcPr>
          <w:p w14:paraId="00000470" w14:textId="77777777" w:rsidR="009F1887" w:rsidRDefault="009F1887"/>
        </w:tc>
        <w:tc>
          <w:tcPr>
            <w:tcW w:w="3330" w:type="dxa"/>
          </w:tcPr>
          <w:p w14:paraId="00000471"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72" w14:textId="77777777" w:rsidR="009F1887" w:rsidRDefault="009F1887">
            <w:pPr>
              <w:rPr>
                <w:b/>
              </w:rPr>
            </w:pPr>
          </w:p>
        </w:tc>
        <w:tc>
          <w:tcPr>
            <w:tcW w:w="1350" w:type="dxa"/>
          </w:tcPr>
          <w:p w14:paraId="00000473" w14:textId="77777777" w:rsidR="009F1887" w:rsidRDefault="009F1887">
            <w:pPr>
              <w:rPr>
                <w:b/>
              </w:rPr>
            </w:pPr>
          </w:p>
        </w:tc>
        <w:tc>
          <w:tcPr>
            <w:tcW w:w="1615" w:type="dxa"/>
          </w:tcPr>
          <w:p w14:paraId="00000474" w14:textId="77777777" w:rsidR="009F1887" w:rsidRDefault="009F1887">
            <w:pPr>
              <w:rPr>
                <w:b/>
              </w:rPr>
            </w:pPr>
          </w:p>
        </w:tc>
      </w:tr>
      <w:tr w:rsidR="009F1887" w14:paraId="7B353099" w14:textId="77777777">
        <w:tc>
          <w:tcPr>
            <w:tcW w:w="2398" w:type="dxa"/>
          </w:tcPr>
          <w:p w14:paraId="00000475" w14:textId="77777777" w:rsidR="009F1887" w:rsidRDefault="00790D5B">
            <w:r>
              <w:t>Operation of acquired assets for holding potential COVID-19 patients</w:t>
            </w:r>
          </w:p>
        </w:tc>
        <w:tc>
          <w:tcPr>
            <w:tcW w:w="3627" w:type="dxa"/>
          </w:tcPr>
          <w:p w14:paraId="00000476" w14:textId="77777777" w:rsidR="009F1887" w:rsidRDefault="009F1887"/>
        </w:tc>
        <w:tc>
          <w:tcPr>
            <w:tcW w:w="3330" w:type="dxa"/>
          </w:tcPr>
          <w:p w14:paraId="00000477"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2070" w:type="dxa"/>
          </w:tcPr>
          <w:p w14:paraId="00000478" w14:textId="77777777" w:rsidR="009F1887" w:rsidRDefault="009F1887">
            <w:pPr>
              <w:rPr>
                <w:b/>
              </w:rPr>
            </w:pPr>
          </w:p>
        </w:tc>
        <w:tc>
          <w:tcPr>
            <w:tcW w:w="1350" w:type="dxa"/>
          </w:tcPr>
          <w:p w14:paraId="00000479" w14:textId="77777777" w:rsidR="009F1887" w:rsidRDefault="009F1887">
            <w:pPr>
              <w:rPr>
                <w:b/>
              </w:rPr>
            </w:pPr>
          </w:p>
        </w:tc>
        <w:tc>
          <w:tcPr>
            <w:tcW w:w="1615" w:type="dxa"/>
          </w:tcPr>
          <w:p w14:paraId="0000047A" w14:textId="77777777" w:rsidR="009F1887" w:rsidRDefault="009F1887">
            <w:pPr>
              <w:rPr>
                <w:b/>
              </w:rPr>
            </w:pPr>
          </w:p>
        </w:tc>
      </w:tr>
      <w:tr w:rsidR="009F1887" w14:paraId="42965C36" w14:textId="77777777">
        <w:tc>
          <w:tcPr>
            <w:tcW w:w="2398" w:type="dxa"/>
          </w:tcPr>
          <w:p w14:paraId="0000047B" w14:textId="77777777" w:rsidR="009F1887" w:rsidRDefault="00790D5B">
            <w:r>
              <w:t>Emergency events</w:t>
            </w:r>
          </w:p>
        </w:tc>
        <w:tc>
          <w:tcPr>
            <w:tcW w:w="3627" w:type="dxa"/>
          </w:tcPr>
          <w:p w14:paraId="0000047C"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Spillage;</w:t>
            </w:r>
          </w:p>
          <w:p w14:paraId="0000047D"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Occupational exposure to infectious disease;</w:t>
            </w:r>
          </w:p>
          <w:p w14:paraId="0000047E"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Exposure to radiation;</w:t>
            </w:r>
          </w:p>
          <w:p w14:paraId="0000047F"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Accidental releases of infectious or hazardous substances to the environment;</w:t>
            </w:r>
          </w:p>
          <w:p w14:paraId="00000480"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Medical equipment failure;</w:t>
            </w:r>
          </w:p>
          <w:p w14:paraId="00000481"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Failure of solid waste and wastewater treatment facilities</w:t>
            </w:r>
          </w:p>
          <w:p w14:paraId="00000482"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Fire;</w:t>
            </w:r>
          </w:p>
          <w:p w14:paraId="00000483"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Other emergent events</w:t>
            </w:r>
          </w:p>
        </w:tc>
        <w:tc>
          <w:tcPr>
            <w:tcW w:w="3330" w:type="dxa"/>
          </w:tcPr>
          <w:p w14:paraId="00000484" w14:textId="77777777" w:rsidR="009F1887" w:rsidRDefault="00790D5B">
            <w:pPr>
              <w:numPr>
                <w:ilvl w:val="0"/>
                <w:numId w:val="12"/>
              </w:numPr>
              <w:pBdr>
                <w:top w:val="nil"/>
                <w:left w:val="nil"/>
                <w:bottom w:val="nil"/>
                <w:right w:val="nil"/>
                <w:between w:val="nil"/>
              </w:pBdr>
              <w:spacing w:after="200" w:line="276" w:lineRule="auto"/>
            </w:pPr>
            <w:r>
              <w:rPr>
                <w:rFonts w:ascii="Calibri" w:eastAsia="Calibri" w:hAnsi="Calibri" w:cs="Calibri"/>
                <w:color w:val="000000"/>
                <w:sz w:val="22"/>
                <w:szCs w:val="22"/>
              </w:rPr>
              <w:t>Emergency Response Plan</w:t>
            </w:r>
          </w:p>
        </w:tc>
        <w:tc>
          <w:tcPr>
            <w:tcW w:w="2070" w:type="dxa"/>
          </w:tcPr>
          <w:p w14:paraId="00000485" w14:textId="77777777" w:rsidR="009F1887" w:rsidRDefault="009F1887">
            <w:pPr>
              <w:rPr>
                <w:b/>
              </w:rPr>
            </w:pPr>
          </w:p>
        </w:tc>
        <w:tc>
          <w:tcPr>
            <w:tcW w:w="1350" w:type="dxa"/>
          </w:tcPr>
          <w:p w14:paraId="00000486" w14:textId="77777777" w:rsidR="009F1887" w:rsidRDefault="009F1887">
            <w:pPr>
              <w:rPr>
                <w:b/>
              </w:rPr>
            </w:pPr>
          </w:p>
        </w:tc>
        <w:tc>
          <w:tcPr>
            <w:tcW w:w="1615" w:type="dxa"/>
          </w:tcPr>
          <w:p w14:paraId="00000487" w14:textId="77777777" w:rsidR="009F1887" w:rsidRDefault="009F1887">
            <w:pPr>
              <w:rPr>
                <w:b/>
              </w:rPr>
            </w:pPr>
          </w:p>
        </w:tc>
      </w:tr>
      <w:tr w:rsidR="009F1887" w14:paraId="1D5C5C8F" w14:textId="77777777">
        <w:tc>
          <w:tcPr>
            <w:tcW w:w="2398" w:type="dxa"/>
          </w:tcPr>
          <w:p w14:paraId="00000488" w14:textId="77777777" w:rsidR="009F1887" w:rsidRDefault="00790D5B">
            <w:r>
              <w:t xml:space="preserve"> Mortuary arrangements</w:t>
            </w:r>
          </w:p>
        </w:tc>
        <w:tc>
          <w:tcPr>
            <w:tcW w:w="3627" w:type="dxa"/>
          </w:tcPr>
          <w:p w14:paraId="00000489" w14:textId="77777777" w:rsidR="009F1887" w:rsidRDefault="00790D5B">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Arrangements are insufficient</w:t>
            </w:r>
          </w:p>
          <w:p w14:paraId="0000048A"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Processes are insufficient</w:t>
            </w:r>
            <w:r>
              <w:rPr>
                <w:rFonts w:ascii="Calibri" w:eastAsia="Calibri" w:hAnsi="Calibri" w:cs="Calibri"/>
                <w:i/>
                <w:color w:val="000000"/>
                <w:sz w:val="22"/>
                <w:szCs w:val="22"/>
              </w:rPr>
              <w:t xml:space="preserve"> </w:t>
            </w:r>
          </w:p>
        </w:tc>
        <w:tc>
          <w:tcPr>
            <w:tcW w:w="3330" w:type="dxa"/>
          </w:tcPr>
          <w:p w14:paraId="0000048B" w14:textId="77777777" w:rsidR="009F1887" w:rsidRDefault="00790D5B">
            <w:pPr>
              <w:numPr>
                <w:ilvl w:val="0"/>
                <w:numId w:val="12"/>
              </w:numPr>
              <w:pBdr>
                <w:top w:val="nil"/>
                <w:left w:val="nil"/>
                <w:bottom w:val="nil"/>
                <w:right w:val="nil"/>
                <w:between w:val="nil"/>
              </w:pBdr>
              <w:spacing w:line="276" w:lineRule="auto"/>
              <w:jc w:val="both"/>
              <w:rPr>
                <w:rFonts w:ascii="Calibri" w:eastAsia="Calibri" w:hAnsi="Calibri" w:cs="Calibri"/>
                <w:i/>
                <w:color w:val="000000"/>
                <w:sz w:val="22"/>
                <w:szCs w:val="22"/>
              </w:rPr>
            </w:pPr>
            <w:r>
              <w:rPr>
                <w:rFonts w:ascii="Calibri" w:eastAsia="Calibri" w:hAnsi="Calibri" w:cs="Calibri"/>
                <w:color w:val="000000"/>
                <w:sz w:val="22"/>
                <w:szCs w:val="22"/>
              </w:rPr>
              <w:t xml:space="preserve">Implement good infection control practices (see </w:t>
            </w:r>
            <w:hyperlink r:id="rId47">
              <w:r>
                <w:rPr>
                  <w:rFonts w:ascii="Calibri" w:eastAsia="Calibri" w:hAnsi="Calibri" w:cs="Calibri"/>
                  <w:color w:val="0000FF"/>
                  <w:sz w:val="22"/>
                  <w:szCs w:val="22"/>
                  <w:u w:val="single"/>
                </w:rPr>
                <w:t>WHO Infection Prevention and Control for the safe management of a dead body in the context of COVID-19</w:t>
              </w:r>
            </w:hyperlink>
            <w:r>
              <w:rPr>
                <w:rFonts w:ascii="Calibri" w:eastAsia="Calibri" w:hAnsi="Calibri" w:cs="Calibri"/>
                <w:color w:val="000000"/>
                <w:sz w:val="22"/>
                <w:szCs w:val="22"/>
              </w:rPr>
              <w:t>)</w:t>
            </w:r>
          </w:p>
          <w:p w14:paraId="0000048C" w14:textId="77777777" w:rsidR="009F1887" w:rsidRDefault="00790D5B">
            <w:pPr>
              <w:numPr>
                <w:ilvl w:val="0"/>
                <w:numId w:val="12"/>
              </w:numPr>
              <w:pBdr>
                <w:top w:val="nil"/>
                <w:left w:val="nil"/>
                <w:bottom w:val="nil"/>
                <w:right w:val="nil"/>
                <w:between w:val="nil"/>
              </w:pBdr>
              <w:spacing w:after="200" w:line="276" w:lineRule="auto"/>
              <w:jc w:val="both"/>
            </w:pPr>
            <w:r>
              <w:rPr>
                <w:rFonts w:ascii="Calibri" w:eastAsia="Calibri" w:hAnsi="Calibri" w:cs="Calibri"/>
                <w:color w:val="000000"/>
                <w:sz w:val="22"/>
                <w:szCs w:val="22"/>
              </w:rPr>
              <w:t xml:space="preserve">Use mortuaries and body bags, together with appropriate safeguards during funerals (see WHO </w:t>
            </w:r>
            <w:hyperlink r:id="rId48">
              <w:r>
                <w:rPr>
                  <w:rFonts w:ascii="Calibri" w:eastAsia="Calibri" w:hAnsi="Calibri" w:cs="Calibri"/>
                  <w:color w:val="0000FF"/>
                  <w:sz w:val="22"/>
                  <w:szCs w:val="22"/>
                  <w:u w:val="single"/>
                </w:rPr>
                <w:t>Practical considerations and recommendations for religious leaders and faith-based communities in the context of COVID-19</w:t>
              </w:r>
            </w:hyperlink>
            <w:r>
              <w:rPr>
                <w:rFonts w:ascii="Calibri" w:eastAsia="Calibri" w:hAnsi="Calibri" w:cs="Calibri"/>
                <w:color w:val="000000"/>
                <w:sz w:val="22"/>
                <w:szCs w:val="22"/>
              </w:rPr>
              <w:t xml:space="preserve">) </w:t>
            </w:r>
          </w:p>
        </w:tc>
        <w:tc>
          <w:tcPr>
            <w:tcW w:w="2070" w:type="dxa"/>
          </w:tcPr>
          <w:p w14:paraId="0000048D" w14:textId="77777777" w:rsidR="009F1887" w:rsidRDefault="009F1887">
            <w:pPr>
              <w:rPr>
                <w:b/>
              </w:rPr>
            </w:pPr>
          </w:p>
        </w:tc>
        <w:tc>
          <w:tcPr>
            <w:tcW w:w="1350" w:type="dxa"/>
          </w:tcPr>
          <w:p w14:paraId="0000048E" w14:textId="77777777" w:rsidR="009F1887" w:rsidRDefault="009F1887">
            <w:pPr>
              <w:rPr>
                <w:b/>
              </w:rPr>
            </w:pPr>
          </w:p>
        </w:tc>
        <w:tc>
          <w:tcPr>
            <w:tcW w:w="1615" w:type="dxa"/>
          </w:tcPr>
          <w:p w14:paraId="0000048F" w14:textId="77777777" w:rsidR="009F1887" w:rsidRDefault="009F1887">
            <w:pPr>
              <w:rPr>
                <w:b/>
              </w:rPr>
            </w:pPr>
          </w:p>
        </w:tc>
      </w:tr>
    </w:tbl>
    <w:p w14:paraId="00000490" w14:textId="77777777" w:rsidR="009F1887" w:rsidRDefault="009F1887">
      <w:pPr>
        <w:rPr>
          <w:rFonts w:ascii="Times New Roman" w:eastAsia="Times New Roman" w:hAnsi="Times New Roman" w:cs="Times New Roman"/>
          <w:b/>
        </w:rPr>
      </w:pPr>
    </w:p>
    <w:p w14:paraId="00000491" w14:textId="77777777" w:rsidR="009F1887" w:rsidRDefault="009F1887">
      <w:pPr>
        <w:rPr>
          <w:rFonts w:ascii="Times New Roman" w:eastAsia="Times New Roman" w:hAnsi="Times New Roman" w:cs="Times New Roman"/>
          <w:b/>
        </w:rPr>
      </w:pPr>
    </w:p>
    <w:p w14:paraId="00000492" w14:textId="77777777" w:rsidR="009F1887" w:rsidRDefault="00790D5B">
      <w:r>
        <w:br w:type="page"/>
      </w:r>
    </w:p>
    <w:p w14:paraId="00000493" w14:textId="77777777" w:rsidR="009F1887" w:rsidRDefault="00790D5B">
      <w:pPr>
        <w:rPr>
          <w:rFonts w:ascii="Times New Roman" w:eastAsia="Times New Roman" w:hAnsi="Times New Roman" w:cs="Times New Roman"/>
          <w:b/>
        </w:rPr>
      </w:pPr>
      <w:r>
        <w:rPr>
          <w:rFonts w:ascii="Times New Roman" w:eastAsia="Times New Roman" w:hAnsi="Times New Roman" w:cs="Times New Roman"/>
          <w:b/>
        </w:rPr>
        <w:lastRenderedPageBreak/>
        <w:t>Table 4 - Environmental and Social Risks and Mitigation Measures during Decommissioning</w:t>
      </w:r>
    </w:p>
    <w:tbl>
      <w:tblPr>
        <w:tblStyle w:val="a5"/>
        <w:tblW w:w="14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750"/>
        <w:gridCol w:w="2250"/>
        <w:gridCol w:w="1200"/>
        <w:gridCol w:w="1200"/>
      </w:tblGrid>
      <w:tr w:rsidR="009F1887" w14:paraId="7B57A4B9" w14:textId="77777777">
        <w:tc>
          <w:tcPr>
            <w:tcW w:w="3000" w:type="dxa"/>
            <w:shd w:val="clear" w:color="auto" w:fill="FFC000"/>
          </w:tcPr>
          <w:p w14:paraId="00000494" w14:textId="77777777" w:rsidR="009F1887" w:rsidRDefault="00790D5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Key Activities</w:t>
            </w:r>
          </w:p>
        </w:tc>
        <w:tc>
          <w:tcPr>
            <w:tcW w:w="3000" w:type="dxa"/>
            <w:shd w:val="clear" w:color="auto" w:fill="FFC000"/>
          </w:tcPr>
          <w:p w14:paraId="00000495" w14:textId="77777777" w:rsidR="009F1887" w:rsidRDefault="00790D5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Potential E&amp;S Risks and Impacts</w:t>
            </w:r>
          </w:p>
        </w:tc>
        <w:tc>
          <w:tcPr>
            <w:tcW w:w="3750" w:type="dxa"/>
            <w:shd w:val="clear" w:color="auto" w:fill="FFC000"/>
          </w:tcPr>
          <w:p w14:paraId="00000496" w14:textId="77777777" w:rsidR="009F1887" w:rsidRDefault="00790D5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Proposed Mitigation Measures</w:t>
            </w:r>
          </w:p>
        </w:tc>
        <w:tc>
          <w:tcPr>
            <w:tcW w:w="2250" w:type="dxa"/>
            <w:shd w:val="clear" w:color="auto" w:fill="FFC000"/>
          </w:tcPr>
          <w:p w14:paraId="00000497" w14:textId="77777777" w:rsidR="009F1887" w:rsidRDefault="00790D5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Responsibilities</w:t>
            </w:r>
          </w:p>
        </w:tc>
        <w:tc>
          <w:tcPr>
            <w:tcW w:w="1200" w:type="dxa"/>
            <w:shd w:val="clear" w:color="auto" w:fill="FFC000"/>
          </w:tcPr>
          <w:p w14:paraId="00000498" w14:textId="77777777" w:rsidR="009F1887" w:rsidRDefault="00790D5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Timeline</w:t>
            </w:r>
          </w:p>
        </w:tc>
        <w:tc>
          <w:tcPr>
            <w:tcW w:w="1200" w:type="dxa"/>
            <w:shd w:val="clear" w:color="auto" w:fill="FFC000"/>
          </w:tcPr>
          <w:p w14:paraId="00000499" w14:textId="77777777" w:rsidR="009F1887" w:rsidRDefault="00790D5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Budget</w:t>
            </w:r>
          </w:p>
        </w:tc>
      </w:tr>
      <w:tr w:rsidR="009F1887" w14:paraId="6C57580C" w14:textId="77777777">
        <w:tc>
          <w:tcPr>
            <w:tcW w:w="3000" w:type="dxa"/>
          </w:tcPr>
          <w:p w14:paraId="0000049A" w14:textId="77777777" w:rsidR="009F1887" w:rsidRDefault="00790D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Decommissioning of interim HCF</w:t>
            </w:r>
          </w:p>
        </w:tc>
        <w:tc>
          <w:tcPr>
            <w:tcW w:w="3000" w:type="dxa"/>
            <w:shd w:val="clear" w:color="auto" w:fill="auto"/>
          </w:tcPr>
          <w:p w14:paraId="0000049B" w14:textId="77777777" w:rsidR="009F1887" w:rsidRDefault="009F1887">
            <w:pPr>
              <w:spacing w:after="0" w:line="240" w:lineRule="auto"/>
              <w:rPr>
                <w:rFonts w:ascii="Times New Roman" w:eastAsia="Times New Roman" w:hAnsi="Times New Roman" w:cs="Times New Roman"/>
                <w:sz w:val="20"/>
                <w:szCs w:val="20"/>
              </w:rPr>
            </w:pPr>
          </w:p>
        </w:tc>
        <w:tc>
          <w:tcPr>
            <w:tcW w:w="3750" w:type="dxa"/>
            <w:shd w:val="clear" w:color="auto" w:fill="auto"/>
          </w:tcPr>
          <w:p w14:paraId="0000049C" w14:textId="77777777" w:rsidR="009F1887" w:rsidRDefault="009F1887">
            <w:pPr>
              <w:spacing w:after="0" w:line="240" w:lineRule="auto"/>
              <w:rPr>
                <w:rFonts w:ascii="Times New Roman" w:eastAsia="Times New Roman" w:hAnsi="Times New Roman" w:cs="Times New Roman"/>
                <w:sz w:val="20"/>
                <w:szCs w:val="20"/>
              </w:rPr>
            </w:pPr>
          </w:p>
        </w:tc>
        <w:tc>
          <w:tcPr>
            <w:tcW w:w="2250" w:type="dxa"/>
            <w:shd w:val="clear" w:color="auto" w:fill="auto"/>
          </w:tcPr>
          <w:p w14:paraId="0000049D" w14:textId="77777777" w:rsidR="009F1887" w:rsidRDefault="009F1887">
            <w:pPr>
              <w:spacing w:after="0" w:line="240" w:lineRule="auto"/>
              <w:rPr>
                <w:rFonts w:ascii="Times New Roman" w:eastAsia="Times New Roman" w:hAnsi="Times New Roman" w:cs="Times New Roman"/>
                <w:sz w:val="20"/>
                <w:szCs w:val="20"/>
              </w:rPr>
            </w:pPr>
          </w:p>
        </w:tc>
        <w:tc>
          <w:tcPr>
            <w:tcW w:w="1200" w:type="dxa"/>
            <w:shd w:val="clear" w:color="auto" w:fill="auto"/>
          </w:tcPr>
          <w:p w14:paraId="0000049E" w14:textId="77777777" w:rsidR="009F1887" w:rsidRDefault="009F1887">
            <w:pPr>
              <w:spacing w:after="0" w:line="240" w:lineRule="auto"/>
              <w:rPr>
                <w:rFonts w:ascii="Times New Roman" w:eastAsia="Times New Roman" w:hAnsi="Times New Roman" w:cs="Times New Roman"/>
                <w:sz w:val="20"/>
                <w:szCs w:val="20"/>
              </w:rPr>
            </w:pPr>
          </w:p>
        </w:tc>
        <w:tc>
          <w:tcPr>
            <w:tcW w:w="1200" w:type="dxa"/>
            <w:shd w:val="clear" w:color="auto" w:fill="auto"/>
          </w:tcPr>
          <w:p w14:paraId="0000049F" w14:textId="77777777" w:rsidR="009F1887" w:rsidRDefault="009F1887">
            <w:pPr>
              <w:spacing w:after="0" w:line="240" w:lineRule="auto"/>
              <w:rPr>
                <w:rFonts w:ascii="Times New Roman" w:eastAsia="Times New Roman" w:hAnsi="Times New Roman" w:cs="Times New Roman"/>
                <w:sz w:val="20"/>
                <w:szCs w:val="20"/>
              </w:rPr>
            </w:pPr>
          </w:p>
        </w:tc>
      </w:tr>
      <w:tr w:rsidR="009F1887" w14:paraId="6DD9B486" w14:textId="77777777">
        <w:tc>
          <w:tcPr>
            <w:tcW w:w="3000" w:type="dxa"/>
          </w:tcPr>
          <w:p w14:paraId="000004A0" w14:textId="77777777" w:rsidR="009F1887" w:rsidRDefault="00790D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Decommissioning of medical equipment</w:t>
            </w:r>
          </w:p>
        </w:tc>
        <w:tc>
          <w:tcPr>
            <w:tcW w:w="3000" w:type="dxa"/>
            <w:shd w:val="clear" w:color="auto" w:fill="auto"/>
          </w:tcPr>
          <w:p w14:paraId="000004A1" w14:textId="77777777" w:rsidR="009F1887" w:rsidRDefault="009F1887">
            <w:pPr>
              <w:spacing w:after="0" w:line="240" w:lineRule="auto"/>
              <w:rPr>
                <w:rFonts w:ascii="Times New Roman" w:eastAsia="Times New Roman" w:hAnsi="Times New Roman" w:cs="Times New Roman"/>
                <w:sz w:val="20"/>
                <w:szCs w:val="20"/>
              </w:rPr>
            </w:pPr>
          </w:p>
        </w:tc>
        <w:tc>
          <w:tcPr>
            <w:tcW w:w="3750" w:type="dxa"/>
            <w:shd w:val="clear" w:color="auto" w:fill="auto"/>
          </w:tcPr>
          <w:p w14:paraId="000004A2" w14:textId="77777777" w:rsidR="009F1887" w:rsidRDefault="009F1887">
            <w:pPr>
              <w:spacing w:after="0" w:line="240" w:lineRule="auto"/>
              <w:rPr>
                <w:rFonts w:ascii="Times New Roman" w:eastAsia="Times New Roman" w:hAnsi="Times New Roman" w:cs="Times New Roman"/>
                <w:sz w:val="20"/>
                <w:szCs w:val="20"/>
              </w:rPr>
            </w:pPr>
          </w:p>
        </w:tc>
        <w:tc>
          <w:tcPr>
            <w:tcW w:w="2250" w:type="dxa"/>
            <w:shd w:val="clear" w:color="auto" w:fill="auto"/>
          </w:tcPr>
          <w:p w14:paraId="000004A3" w14:textId="77777777" w:rsidR="009F1887" w:rsidRDefault="009F1887">
            <w:pPr>
              <w:spacing w:after="0" w:line="240" w:lineRule="auto"/>
              <w:rPr>
                <w:rFonts w:ascii="Times New Roman" w:eastAsia="Times New Roman" w:hAnsi="Times New Roman" w:cs="Times New Roman"/>
                <w:sz w:val="20"/>
                <w:szCs w:val="20"/>
              </w:rPr>
            </w:pPr>
          </w:p>
        </w:tc>
        <w:tc>
          <w:tcPr>
            <w:tcW w:w="1200" w:type="dxa"/>
            <w:shd w:val="clear" w:color="auto" w:fill="auto"/>
          </w:tcPr>
          <w:p w14:paraId="000004A4" w14:textId="77777777" w:rsidR="009F1887" w:rsidRDefault="009F1887">
            <w:pPr>
              <w:spacing w:after="0" w:line="240" w:lineRule="auto"/>
              <w:rPr>
                <w:rFonts w:ascii="Times New Roman" w:eastAsia="Times New Roman" w:hAnsi="Times New Roman" w:cs="Times New Roman"/>
                <w:sz w:val="20"/>
                <w:szCs w:val="20"/>
              </w:rPr>
            </w:pPr>
          </w:p>
        </w:tc>
        <w:tc>
          <w:tcPr>
            <w:tcW w:w="1200" w:type="dxa"/>
            <w:shd w:val="clear" w:color="auto" w:fill="auto"/>
          </w:tcPr>
          <w:p w14:paraId="000004A5" w14:textId="77777777" w:rsidR="009F1887" w:rsidRDefault="009F1887">
            <w:pPr>
              <w:spacing w:after="0" w:line="240" w:lineRule="auto"/>
              <w:rPr>
                <w:rFonts w:ascii="Times New Roman" w:eastAsia="Times New Roman" w:hAnsi="Times New Roman" w:cs="Times New Roman"/>
                <w:sz w:val="20"/>
                <w:szCs w:val="20"/>
              </w:rPr>
            </w:pPr>
          </w:p>
        </w:tc>
      </w:tr>
      <w:tr w:rsidR="009F1887" w14:paraId="53EF75BC" w14:textId="77777777">
        <w:tc>
          <w:tcPr>
            <w:tcW w:w="3000" w:type="dxa"/>
          </w:tcPr>
          <w:p w14:paraId="000004A6" w14:textId="77777777" w:rsidR="009F1887" w:rsidRDefault="00790D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Regular decommissioning </w:t>
            </w:r>
          </w:p>
        </w:tc>
        <w:tc>
          <w:tcPr>
            <w:tcW w:w="3000" w:type="dxa"/>
            <w:shd w:val="clear" w:color="auto" w:fill="auto"/>
          </w:tcPr>
          <w:p w14:paraId="000004A7" w14:textId="77777777" w:rsidR="009F1887" w:rsidRDefault="009F1887">
            <w:pPr>
              <w:spacing w:after="0" w:line="240" w:lineRule="auto"/>
              <w:rPr>
                <w:rFonts w:ascii="Times New Roman" w:eastAsia="Times New Roman" w:hAnsi="Times New Roman" w:cs="Times New Roman"/>
                <w:sz w:val="20"/>
                <w:szCs w:val="20"/>
              </w:rPr>
            </w:pPr>
          </w:p>
        </w:tc>
        <w:tc>
          <w:tcPr>
            <w:tcW w:w="3750" w:type="dxa"/>
            <w:shd w:val="clear" w:color="auto" w:fill="auto"/>
          </w:tcPr>
          <w:p w14:paraId="000004A8" w14:textId="77777777" w:rsidR="009F1887" w:rsidRDefault="009F1887">
            <w:pPr>
              <w:spacing w:after="0" w:line="240" w:lineRule="auto"/>
              <w:rPr>
                <w:rFonts w:ascii="Times New Roman" w:eastAsia="Times New Roman" w:hAnsi="Times New Roman" w:cs="Times New Roman"/>
                <w:sz w:val="20"/>
                <w:szCs w:val="20"/>
              </w:rPr>
            </w:pPr>
          </w:p>
        </w:tc>
        <w:tc>
          <w:tcPr>
            <w:tcW w:w="2250" w:type="dxa"/>
            <w:shd w:val="clear" w:color="auto" w:fill="auto"/>
          </w:tcPr>
          <w:p w14:paraId="000004A9" w14:textId="77777777" w:rsidR="009F1887" w:rsidRDefault="009F1887">
            <w:pPr>
              <w:spacing w:after="0" w:line="240" w:lineRule="auto"/>
              <w:rPr>
                <w:rFonts w:ascii="Times New Roman" w:eastAsia="Times New Roman" w:hAnsi="Times New Roman" w:cs="Times New Roman"/>
                <w:sz w:val="20"/>
                <w:szCs w:val="20"/>
              </w:rPr>
            </w:pPr>
          </w:p>
        </w:tc>
        <w:tc>
          <w:tcPr>
            <w:tcW w:w="1200" w:type="dxa"/>
            <w:shd w:val="clear" w:color="auto" w:fill="auto"/>
          </w:tcPr>
          <w:p w14:paraId="000004AA" w14:textId="77777777" w:rsidR="009F1887" w:rsidRDefault="009F1887">
            <w:pPr>
              <w:spacing w:after="0" w:line="240" w:lineRule="auto"/>
              <w:rPr>
                <w:rFonts w:ascii="Times New Roman" w:eastAsia="Times New Roman" w:hAnsi="Times New Roman" w:cs="Times New Roman"/>
                <w:sz w:val="20"/>
                <w:szCs w:val="20"/>
              </w:rPr>
            </w:pPr>
          </w:p>
        </w:tc>
        <w:tc>
          <w:tcPr>
            <w:tcW w:w="1200" w:type="dxa"/>
            <w:shd w:val="clear" w:color="auto" w:fill="auto"/>
          </w:tcPr>
          <w:p w14:paraId="000004AB" w14:textId="77777777" w:rsidR="009F1887" w:rsidRDefault="009F1887">
            <w:pPr>
              <w:spacing w:after="0" w:line="240" w:lineRule="auto"/>
              <w:rPr>
                <w:rFonts w:ascii="Times New Roman" w:eastAsia="Times New Roman" w:hAnsi="Times New Roman" w:cs="Times New Roman"/>
                <w:sz w:val="20"/>
                <w:szCs w:val="20"/>
              </w:rPr>
            </w:pPr>
          </w:p>
        </w:tc>
      </w:tr>
      <w:tr w:rsidR="009F1887" w14:paraId="24848D48" w14:textId="77777777">
        <w:tc>
          <w:tcPr>
            <w:tcW w:w="3000" w:type="dxa"/>
          </w:tcPr>
          <w:p w14:paraId="000004AC" w14:textId="77777777" w:rsidR="009F1887" w:rsidRDefault="00790D5B">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To be expanded</w:t>
            </w:r>
          </w:p>
        </w:tc>
        <w:tc>
          <w:tcPr>
            <w:tcW w:w="3000" w:type="dxa"/>
            <w:shd w:val="clear" w:color="auto" w:fill="auto"/>
          </w:tcPr>
          <w:p w14:paraId="000004AD" w14:textId="77777777" w:rsidR="009F1887" w:rsidRDefault="009F1887">
            <w:pPr>
              <w:spacing w:after="0" w:line="240" w:lineRule="auto"/>
              <w:rPr>
                <w:rFonts w:ascii="Times New Roman" w:eastAsia="Times New Roman" w:hAnsi="Times New Roman" w:cs="Times New Roman"/>
                <w:i/>
                <w:sz w:val="20"/>
                <w:szCs w:val="20"/>
              </w:rPr>
            </w:pPr>
          </w:p>
        </w:tc>
        <w:tc>
          <w:tcPr>
            <w:tcW w:w="3750" w:type="dxa"/>
            <w:shd w:val="clear" w:color="auto" w:fill="auto"/>
          </w:tcPr>
          <w:p w14:paraId="000004AE" w14:textId="77777777" w:rsidR="009F1887" w:rsidRDefault="009F1887">
            <w:pPr>
              <w:spacing w:after="0" w:line="240" w:lineRule="auto"/>
              <w:rPr>
                <w:rFonts w:ascii="Times New Roman" w:eastAsia="Times New Roman" w:hAnsi="Times New Roman" w:cs="Times New Roman"/>
                <w:i/>
                <w:sz w:val="20"/>
                <w:szCs w:val="20"/>
              </w:rPr>
            </w:pPr>
          </w:p>
        </w:tc>
        <w:tc>
          <w:tcPr>
            <w:tcW w:w="2250" w:type="dxa"/>
            <w:shd w:val="clear" w:color="auto" w:fill="auto"/>
          </w:tcPr>
          <w:p w14:paraId="000004AF" w14:textId="77777777" w:rsidR="009F1887" w:rsidRDefault="009F1887">
            <w:pPr>
              <w:spacing w:after="0" w:line="240" w:lineRule="auto"/>
              <w:rPr>
                <w:rFonts w:ascii="Times New Roman" w:eastAsia="Times New Roman" w:hAnsi="Times New Roman" w:cs="Times New Roman"/>
                <w:i/>
                <w:sz w:val="20"/>
                <w:szCs w:val="20"/>
              </w:rPr>
            </w:pPr>
          </w:p>
        </w:tc>
        <w:tc>
          <w:tcPr>
            <w:tcW w:w="1200" w:type="dxa"/>
            <w:shd w:val="clear" w:color="auto" w:fill="auto"/>
          </w:tcPr>
          <w:p w14:paraId="000004B0" w14:textId="77777777" w:rsidR="009F1887" w:rsidRDefault="009F1887">
            <w:pPr>
              <w:spacing w:after="0" w:line="240" w:lineRule="auto"/>
              <w:rPr>
                <w:rFonts w:ascii="Times New Roman" w:eastAsia="Times New Roman" w:hAnsi="Times New Roman" w:cs="Times New Roman"/>
                <w:i/>
                <w:sz w:val="20"/>
                <w:szCs w:val="20"/>
              </w:rPr>
            </w:pPr>
          </w:p>
        </w:tc>
        <w:tc>
          <w:tcPr>
            <w:tcW w:w="1200" w:type="dxa"/>
            <w:shd w:val="clear" w:color="auto" w:fill="auto"/>
          </w:tcPr>
          <w:p w14:paraId="000004B1" w14:textId="77777777" w:rsidR="009F1887" w:rsidRDefault="009F1887">
            <w:pPr>
              <w:spacing w:after="0" w:line="240" w:lineRule="auto"/>
              <w:rPr>
                <w:rFonts w:ascii="Times New Roman" w:eastAsia="Times New Roman" w:hAnsi="Times New Roman" w:cs="Times New Roman"/>
                <w:i/>
                <w:sz w:val="20"/>
                <w:szCs w:val="20"/>
              </w:rPr>
            </w:pPr>
          </w:p>
        </w:tc>
      </w:tr>
    </w:tbl>
    <w:p w14:paraId="000004B2" w14:textId="77777777" w:rsidR="009F1887" w:rsidRDefault="009F1887">
      <w:pPr>
        <w:rPr>
          <w:rFonts w:ascii="Times New Roman" w:eastAsia="Times New Roman" w:hAnsi="Times New Roman" w:cs="Times New Roman"/>
          <w:b/>
        </w:rPr>
      </w:pPr>
    </w:p>
    <w:p w14:paraId="000004B3" w14:textId="77777777" w:rsidR="009F1887" w:rsidRDefault="009F1887">
      <w:pPr>
        <w:rPr>
          <w:rFonts w:ascii="Times New Roman" w:eastAsia="Times New Roman" w:hAnsi="Times New Roman" w:cs="Times New Roman"/>
          <w:b/>
        </w:rPr>
      </w:pPr>
    </w:p>
    <w:p w14:paraId="000004B4" w14:textId="77777777" w:rsidR="009F1887" w:rsidRDefault="009F1887">
      <w:pPr>
        <w:sectPr w:rsidR="009F1887">
          <w:pgSz w:w="12240" w:h="15840"/>
          <w:pgMar w:top="720" w:right="720" w:bottom="720" w:left="720" w:header="720" w:footer="720" w:gutter="0"/>
          <w:cols w:space="720" w:equalWidth="0">
            <w:col w:w="9360"/>
          </w:cols>
        </w:sectPr>
      </w:pPr>
    </w:p>
    <w:p w14:paraId="000004B5" w14:textId="77777777" w:rsidR="009F1887" w:rsidRDefault="00790D5B">
      <w:pPr>
        <w:keepNext/>
        <w:keepLines/>
        <w:pBdr>
          <w:top w:val="nil"/>
          <w:left w:val="nil"/>
          <w:bottom w:val="nil"/>
          <w:right w:val="nil"/>
          <w:between w:val="nil"/>
        </w:pBdr>
        <w:spacing w:after="240" w:line="240" w:lineRule="auto"/>
        <w:ind w:left="-180"/>
        <w:rPr>
          <w:rFonts w:ascii="Times New Roman" w:eastAsia="Times New Roman" w:hAnsi="Times New Roman" w:cs="Times New Roman"/>
          <w:b/>
          <w:color w:val="000000"/>
        </w:rPr>
      </w:pPr>
      <w:bookmarkStart w:id="695" w:name="_heading=h.32hioqz" w:colFirst="0" w:colLast="0"/>
      <w:bookmarkEnd w:id="695"/>
      <w:r>
        <w:rPr>
          <w:rFonts w:ascii="Times New Roman" w:eastAsia="Times New Roman" w:hAnsi="Times New Roman" w:cs="Times New Roman"/>
          <w:b/>
          <w:color w:val="000000"/>
        </w:rPr>
        <w:lastRenderedPageBreak/>
        <w:t>Infection Control and Waste Management Plan (ICWMP) Template</w:t>
      </w:r>
    </w:p>
    <w:p w14:paraId="000004B6" w14:textId="77777777" w:rsidR="009F1887" w:rsidRDefault="00790D5B">
      <w:pPr>
        <w:numPr>
          <w:ilvl w:val="0"/>
          <w:numId w:val="5"/>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14:paraId="000004B7" w14:textId="77777777" w:rsidR="009F1887" w:rsidRDefault="00790D5B">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Describe the project context and components</w:t>
      </w:r>
    </w:p>
    <w:p w14:paraId="000004B8" w14:textId="77777777" w:rsidR="009F1887" w:rsidRDefault="00790D5B">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Describe the targeted healthcare facility (HCF): </w:t>
      </w:r>
    </w:p>
    <w:p w14:paraId="000004B9" w14:textId="77777777" w:rsidR="009F1887" w:rsidRDefault="00790D5B">
      <w:pPr>
        <w:numPr>
          <w:ilvl w:val="0"/>
          <w:numId w:val="3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Type: E.g. general hospital, clinics, inpatient/outpatient facility, medical laboratory, quarantine or isolation centers;</w:t>
      </w:r>
    </w:p>
    <w:p w14:paraId="000004BA" w14:textId="77777777" w:rsidR="009F1887" w:rsidRDefault="00790D5B">
      <w:pPr>
        <w:numPr>
          <w:ilvl w:val="0"/>
          <w:numId w:val="36"/>
        </w:numPr>
        <w:pBdr>
          <w:top w:val="nil"/>
          <w:left w:val="nil"/>
          <w:bottom w:val="nil"/>
          <w:right w:val="nil"/>
          <w:between w:val="nil"/>
        </w:pBdr>
        <w:spacing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Special type of HCF in response to COVID-19: E.g. existing assets may be acquired to hold yet-to-confirm cases for medical observation or isolation; </w:t>
      </w:r>
    </w:p>
    <w:p w14:paraId="000004BB" w14:textId="77777777" w:rsidR="009F1887" w:rsidRDefault="00790D5B">
      <w:pPr>
        <w:numPr>
          <w:ilvl w:val="0"/>
          <w:numId w:val="3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Functions and requirement for the level infection control, e.g. biosafety levels;</w:t>
      </w:r>
    </w:p>
    <w:p w14:paraId="000004BC" w14:textId="77777777" w:rsidR="009F1887" w:rsidRDefault="00790D5B">
      <w:pPr>
        <w:numPr>
          <w:ilvl w:val="0"/>
          <w:numId w:val="3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Location and associated facilities, including access, water supply, power supply;</w:t>
      </w:r>
    </w:p>
    <w:p w14:paraId="000004BD" w14:textId="77777777" w:rsidR="009F1887" w:rsidRDefault="00790D5B">
      <w:pPr>
        <w:numPr>
          <w:ilvl w:val="0"/>
          <w:numId w:val="3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Capacity: beds </w:t>
      </w:r>
    </w:p>
    <w:p w14:paraId="000004BE" w14:textId="77777777" w:rsidR="009F1887" w:rsidRDefault="00790D5B">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Describe the design requirements of the HCF, which may include specifications for general design and safety, separation of wards, heating, ventilation and air conditioning (HVAC), autoclave, and waste management facilities. </w:t>
      </w:r>
    </w:p>
    <w:p w14:paraId="000004BF" w14:textId="77777777" w:rsidR="009F1887" w:rsidRDefault="009F1887">
      <w:pPr>
        <w:pBdr>
          <w:top w:val="nil"/>
          <w:left w:val="nil"/>
          <w:bottom w:val="nil"/>
          <w:right w:val="nil"/>
          <w:between w:val="nil"/>
        </w:pBdr>
        <w:spacing w:after="0"/>
        <w:ind w:left="360"/>
        <w:jc w:val="both"/>
        <w:rPr>
          <w:rFonts w:ascii="Times New Roman" w:eastAsia="Times New Roman" w:hAnsi="Times New Roman" w:cs="Times New Roman"/>
          <w:b/>
          <w:color w:val="000000"/>
        </w:rPr>
      </w:pPr>
    </w:p>
    <w:p w14:paraId="000004C0" w14:textId="77777777" w:rsidR="009F1887" w:rsidRDefault="00790D5B">
      <w:pPr>
        <w:numPr>
          <w:ilvl w:val="0"/>
          <w:numId w:val="5"/>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Infection Control and Waste Management </w:t>
      </w:r>
    </w:p>
    <w:p w14:paraId="000004C1" w14:textId="77777777" w:rsidR="009F1887" w:rsidRDefault="00790D5B">
      <w:p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2.1 </w:t>
      </w:r>
      <w:r>
        <w:rPr>
          <w:rFonts w:ascii="Times New Roman" w:eastAsia="Times New Roman" w:hAnsi="Times New Roman" w:cs="Times New Roman"/>
        </w:rPr>
        <w:t>Overview of infection control and waste management in the HCF</w:t>
      </w:r>
    </w:p>
    <w:p w14:paraId="000004C2"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Type, source and volume of healthcare waste (HCW) generated in the HCF, including solid, liquid and air emissions (if significant)</w:t>
      </w:r>
    </w:p>
    <w:p w14:paraId="000004C3"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Classify and quantify the HCW (infectious waste, pathological waste, sharps, liquid and non-hazardous) following WBG </w:t>
      </w:r>
      <w:hyperlink r:id="rId49">
        <w:r>
          <w:rPr>
            <w:rFonts w:ascii="Times New Roman" w:eastAsia="Times New Roman" w:hAnsi="Times New Roman" w:cs="Times New Roman"/>
            <w:color w:val="0000FF"/>
            <w:u w:val="single"/>
          </w:rPr>
          <w:t>EHS Guidelines</w:t>
        </w:r>
      </w:hyperlink>
      <w:r>
        <w:rPr>
          <w:rFonts w:ascii="Times New Roman" w:eastAsia="Times New Roman" w:hAnsi="Times New Roman" w:cs="Times New Roman"/>
          <w:color w:val="000000"/>
        </w:rPr>
        <w:t xml:space="preserve"> for Healthcare Facilities and pertaining GIIP. </w:t>
      </w:r>
    </w:p>
    <w:p w14:paraId="000004C4"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000004C5"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Describe the healthcare waste management system in the HCF, including material delivery, waste generation, handling, disinfection and sterilization, collection, storage, transport, and disposal and treatment works</w:t>
      </w:r>
    </w:p>
    <w:p w14:paraId="000004C6"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Provide a flow chart of waste streams in the HCF if available</w:t>
      </w:r>
    </w:p>
    <w:p w14:paraId="000004C7"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Describe applicable performance levels and/or standards</w:t>
      </w:r>
    </w:p>
    <w:p w14:paraId="000004C8"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Describe institutional arrangement, roles and responsibilities in the HCF for infection control and waste management</w:t>
      </w:r>
    </w:p>
    <w:p w14:paraId="000004C9" w14:textId="77777777" w:rsidR="009F1887" w:rsidRDefault="00790D5B">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2.2 </w:t>
      </w:r>
      <w:r>
        <w:rPr>
          <w:rFonts w:ascii="Times New Roman" w:eastAsia="Times New Roman" w:hAnsi="Times New Roman" w:cs="Times New Roman"/>
        </w:rPr>
        <w:t>Management Measures</w:t>
      </w:r>
    </w:p>
    <w:p w14:paraId="000004CA"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Waste minimization, reuse and recycling: HCF should consider practices and procedures to minimize waste generation, without sacrificing patient hygiene and safety considerations.  </w:t>
      </w:r>
    </w:p>
    <w:p w14:paraId="000004CB"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Delivery and storage of specimen, samples, reagents, pharmaceuticals and medical supplies: HCF should adopt practice and procedures to minimize risks associated with delivering, receiving and storage of hazardous medical goods.</w:t>
      </w:r>
    </w:p>
    <w:p w14:paraId="000004CC"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Waste segregation, packaging, color coding and labeling: HCF should strictly conduct waste segregation at the point of generation. Internationally adopted method for packaging, color coding and labeling the wastes should be followed. </w:t>
      </w:r>
    </w:p>
    <w:p w14:paraId="000004CD"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Onsite collection and transport: HCF should adopt practices and procedures to timely remove properly packaged and labelled wastes using designated trolleys/carts and routes. Disinfection of pertaining tools and spaces should be routinely conducted. Hygiene and safety of involved supporting medical workers such as cleaners should be ensured. </w:t>
      </w:r>
    </w:p>
    <w:p w14:paraId="000004CE"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 </w:t>
      </w:r>
    </w:p>
    <w:p w14:paraId="000004CF"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 </w:t>
      </w:r>
    </w:p>
    <w:p w14:paraId="000004D0"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the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000004D1"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as well. There’re also cases where HCF wastewater is transported by trucks to a municipal wastewater treatment plant for treatment. Requirements on safe transportation, due diligence of WWTP in terms of its capacity and performance should be conducted. </w:t>
      </w:r>
    </w:p>
    <w:p w14:paraId="000004D2" w14:textId="77777777" w:rsidR="009F1887" w:rsidRDefault="009F188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000004D3" w14:textId="77777777" w:rsidR="009F1887" w:rsidRDefault="00790D5B">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Emergency Preparedness and Response</w:t>
      </w:r>
    </w:p>
    <w:p w14:paraId="000004D4"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Emergency incidents occurring in a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000004D5" w14:textId="77777777" w:rsidR="009F1887" w:rsidRDefault="00790D5B">
      <w:pPr>
        <w:spacing w:line="240" w:lineRule="auto"/>
        <w:jc w:val="both"/>
        <w:rPr>
          <w:rFonts w:ascii="Times New Roman" w:eastAsia="Times New Roman" w:hAnsi="Times New Roman" w:cs="Times New Roman"/>
        </w:rPr>
      </w:pPr>
      <w:r>
        <w:rPr>
          <w:rFonts w:ascii="Times New Roman" w:eastAsia="Times New Roman" w:hAnsi="Times New Roman" w:cs="Times New Roman"/>
        </w:rPr>
        <w:t>Thus, an Emergency Response Plan (ERP) that is commensurate with the risk levels is recommended to be developed. The key elements of an ERP are defined in ESS 4 Community Health and Safety (para. 21).</w:t>
      </w:r>
    </w:p>
    <w:p w14:paraId="000004D6" w14:textId="77777777" w:rsidR="009F1887" w:rsidRDefault="00790D5B">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Institutional Arrangement and Capacity Building</w:t>
      </w:r>
    </w:p>
    <w:p w14:paraId="000004D7" w14:textId="77777777" w:rsidR="009F1887" w:rsidRDefault="00790D5B">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 clearly defined institutional arrangement, roles and responsibilities should be included. A training plan with recurring training programs should be developed. The following aspects are recommended:</w:t>
      </w:r>
    </w:p>
    <w:p w14:paraId="000004D8"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Define roles and responsibilities along each link of the chain along the cradle-to-crave infection control and waste management process;</w:t>
      </w:r>
    </w:p>
    <w:p w14:paraId="000004D9"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adequate and qualified staff are in place, including those in charge of infection control and biosafety and waste management facility operation. </w:t>
      </w:r>
    </w:p>
    <w:p w14:paraId="000004DA"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Stress the chief of a HCF takes overall responsibility for infection control and waste management;</w:t>
      </w:r>
    </w:p>
    <w:p w14:paraId="000004DB"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Involve all relevant departments in a HCF, and build an intra-departmental team to manage, coordinate and regularly review issues and performance; </w:t>
      </w:r>
    </w:p>
    <w:p w14:paraId="000004DC"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Establish an information management system to track and record the waste streams in HCF; and </w:t>
      </w:r>
    </w:p>
    <w:p w14:paraId="000004DD" w14:textId="77777777" w:rsidR="009F1887" w:rsidRDefault="00790D5B">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Capacity building and training should involve medical workers, waste management workers and cleaners. Third-party waste management service providers should be provided with relevant training as well. </w:t>
      </w:r>
    </w:p>
    <w:p w14:paraId="000004DE" w14:textId="77777777" w:rsidR="009F1887" w:rsidRDefault="009F1887">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00004DF" w14:textId="77777777" w:rsidR="009F1887" w:rsidRDefault="00790D5B">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Monitoring and Reporting </w:t>
      </w:r>
    </w:p>
    <w:p w14:paraId="000004E0"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allow. </w:t>
      </w:r>
    </w:p>
    <w:p w14:paraId="000004E1"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 xml:space="preserve">As discussed above, the HCF chief takes overall responsibility, leads an intra-departmental team and regularly reviews issues and performance of the infection control and waste management practices in the HCF. Internal reporting and filing systems should be in place. </w:t>
      </w:r>
    </w:p>
    <w:p w14:paraId="000004E2" w14:textId="77777777" w:rsidR="009F1887" w:rsidRDefault="00790D5B">
      <w:pPr>
        <w:jc w:val="both"/>
        <w:rPr>
          <w:rFonts w:ascii="Times New Roman" w:eastAsia="Times New Roman" w:hAnsi="Times New Roman" w:cs="Times New Roman"/>
        </w:rPr>
        <w:sectPr w:rsidR="009F1887">
          <w:headerReference w:type="default" r:id="rId50"/>
          <w:pgSz w:w="12240" w:h="15840"/>
          <w:pgMar w:top="1440" w:right="1440" w:bottom="1440" w:left="1440" w:header="720" w:footer="720" w:gutter="0"/>
          <w:cols w:space="720" w:equalWidth="0">
            <w:col w:w="9360"/>
          </w:cols>
        </w:sectPr>
      </w:pPr>
      <w:r>
        <w:rPr>
          <w:rFonts w:ascii="Times New Roman" w:eastAsia="Times New Roman" w:hAnsi="Times New Roman" w:cs="Times New Roman"/>
        </w:rPr>
        <w:t xml:space="preserve">Externally, reporting should be conducted per government and World Bank requirements. </w:t>
      </w:r>
    </w:p>
    <w:p w14:paraId="000004E3" w14:textId="77777777" w:rsidR="009F1887" w:rsidRDefault="00790D5B">
      <w:pPr>
        <w:rPr>
          <w:rFonts w:ascii="Times New Roman" w:eastAsia="Times New Roman" w:hAnsi="Times New Roman" w:cs="Times New Roman"/>
          <w:b/>
        </w:rPr>
      </w:pPr>
      <w:r>
        <w:rPr>
          <w:rFonts w:ascii="Times New Roman" w:eastAsia="Times New Roman" w:hAnsi="Times New Roman" w:cs="Times New Roman"/>
          <w:b/>
        </w:rPr>
        <w:lastRenderedPageBreak/>
        <w:t>Table ICWMP</w:t>
      </w:r>
    </w:p>
    <w:tbl>
      <w:tblPr>
        <w:tblStyle w:val="a6"/>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357"/>
        <w:gridCol w:w="3060"/>
        <w:gridCol w:w="1980"/>
        <w:gridCol w:w="1980"/>
        <w:gridCol w:w="1615"/>
      </w:tblGrid>
      <w:tr w:rsidR="009F1887" w14:paraId="2E526964" w14:textId="77777777">
        <w:tc>
          <w:tcPr>
            <w:tcW w:w="2398" w:type="dxa"/>
            <w:shd w:val="clear" w:color="auto" w:fill="FFC000"/>
          </w:tcPr>
          <w:p w14:paraId="000004E4" w14:textId="77777777" w:rsidR="009F1887" w:rsidRDefault="00790D5B">
            <w:pPr>
              <w:jc w:val="center"/>
              <w:rPr>
                <w:b/>
              </w:rPr>
            </w:pPr>
            <w:r>
              <w:rPr>
                <w:b/>
              </w:rPr>
              <w:t>Activities</w:t>
            </w:r>
          </w:p>
        </w:tc>
        <w:tc>
          <w:tcPr>
            <w:tcW w:w="3357" w:type="dxa"/>
            <w:shd w:val="clear" w:color="auto" w:fill="FFC000"/>
          </w:tcPr>
          <w:p w14:paraId="000004E5" w14:textId="77777777" w:rsidR="009F1887" w:rsidRDefault="00790D5B">
            <w:pPr>
              <w:jc w:val="center"/>
              <w:rPr>
                <w:b/>
              </w:rPr>
            </w:pPr>
            <w:r>
              <w:rPr>
                <w:b/>
              </w:rPr>
              <w:t>Potential E&amp;S Issues and Risks</w:t>
            </w:r>
          </w:p>
        </w:tc>
        <w:tc>
          <w:tcPr>
            <w:tcW w:w="3060" w:type="dxa"/>
            <w:shd w:val="clear" w:color="auto" w:fill="FFC000"/>
          </w:tcPr>
          <w:p w14:paraId="000004E6" w14:textId="77777777" w:rsidR="009F1887" w:rsidRDefault="00790D5B">
            <w:pPr>
              <w:jc w:val="center"/>
              <w:rPr>
                <w:b/>
              </w:rPr>
            </w:pPr>
            <w:r>
              <w:rPr>
                <w:b/>
              </w:rPr>
              <w:t>Proposed Mitigation Measures</w:t>
            </w:r>
          </w:p>
        </w:tc>
        <w:tc>
          <w:tcPr>
            <w:tcW w:w="1980" w:type="dxa"/>
            <w:shd w:val="clear" w:color="auto" w:fill="FFC000"/>
          </w:tcPr>
          <w:p w14:paraId="000004E7" w14:textId="77777777" w:rsidR="009F1887" w:rsidRDefault="00790D5B">
            <w:pPr>
              <w:jc w:val="center"/>
              <w:rPr>
                <w:b/>
              </w:rPr>
            </w:pPr>
            <w:r>
              <w:rPr>
                <w:b/>
              </w:rPr>
              <w:t>Responsibilities</w:t>
            </w:r>
          </w:p>
        </w:tc>
        <w:tc>
          <w:tcPr>
            <w:tcW w:w="1980" w:type="dxa"/>
            <w:shd w:val="clear" w:color="auto" w:fill="FFC000"/>
          </w:tcPr>
          <w:p w14:paraId="000004E8" w14:textId="77777777" w:rsidR="009F1887" w:rsidRDefault="00790D5B">
            <w:pPr>
              <w:jc w:val="center"/>
              <w:rPr>
                <w:b/>
              </w:rPr>
            </w:pPr>
            <w:r>
              <w:rPr>
                <w:b/>
              </w:rPr>
              <w:t>Timeline</w:t>
            </w:r>
          </w:p>
        </w:tc>
        <w:tc>
          <w:tcPr>
            <w:tcW w:w="1615" w:type="dxa"/>
            <w:shd w:val="clear" w:color="auto" w:fill="FFC000"/>
          </w:tcPr>
          <w:p w14:paraId="000004E9" w14:textId="77777777" w:rsidR="009F1887" w:rsidRDefault="00790D5B">
            <w:pPr>
              <w:jc w:val="center"/>
              <w:rPr>
                <w:b/>
              </w:rPr>
            </w:pPr>
            <w:r>
              <w:rPr>
                <w:b/>
              </w:rPr>
              <w:t>Budget</w:t>
            </w:r>
          </w:p>
        </w:tc>
      </w:tr>
      <w:tr w:rsidR="009F1887" w14:paraId="2AA1E7EA" w14:textId="77777777">
        <w:tc>
          <w:tcPr>
            <w:tcW w:w="2398" w:type="dxa"/>
          </w:tcPr>
          <w:p w14:paraId="000004EA" w14:textId="77777777" w:rsidR="009F1887" w:rsidRDefault="00790D5B">
            <w:pPr>
              <w:rPr>
                <w:b/>
              </w:rPr>
            </w:pPr>
            <w:r>
              <w:t>General HCF operation – Environment</w:t>
            </w:r>
          </w:p>
        </w:tc>
        <w:tc>
          <w:tcPr>
            <w:tcW w:w="3357" w:type="dxa"/>
          </w:tcPr>
          <w:p w14:paraId="000004EB" w14:textId="77777777" w:rsidR="009F1887" w:rsidRDefault="00790D5B">
            <w:pPr>
              <w:rPr>
                <w:b/>
              </w:rPr>
            </w:pPr>
            <w:r>
              <w:t>General wastes, wastewater and air emissions</w:t>
            </w:r>
          </w:p>
        </w:tc>
        <w:tc>
          <w:tcPr>
            <w:tcW w:w="3060" w:type="dxa"/>
          </w:tcPr>
          <w:p w14:paraId="000004EC" w14:textId="77777777" w:rsidR="009F1887" w:rsidRDefault="009F1887">
            <w:pPr>
              <w:rPr>
                <w:b/>
              </w:rPr>
            </w:pPr>
          </w:p>
        </w:tc>
        <w:tc>
          <w:tcPr>
            <w:tcW w:w="1980" w:type="dxa"/>
          </w:tcPr>
          <w:p w14:paraId="000004ED" w14:textId="77777777" w:rsidR="009F1887" w:rsidRDefault="009F1887">
            <w:pPr>
              <w:rPr>
                <w:b/>
              </w:rPr>
            </w:pPr>
          </w:p>
        </w:tc>
        <w:tc>
          <w:tcPr>
            <w:tcW w:w="1980" w:type="dxa"/>
          </w:tcPr>
          <w:p w14:paraId="000004EE" w14:textId="77777777" w:rsidR="009F1887" w:rsidRDefault="009F1887">
            <w:pPr>
              <w:rPr>
                <w:b/>
              </w:rPr>
            </w:pPr>
          </w:p>
        </w:tc>
        <w:tc>
          <w:tcPr>
            <w:tcW w:w="1615" w:type="dxa"/>
          </w:tcPr>
          <w:p w14:paraId="000004EF" w14:textId="77777777" w:rsidR="009F1887" w:rsidRDefault="009F1887">
            <w:pPr>
              <w:rPr>
                <w:b/>
              </w:rPr>
            </w:pPr>
          </w:p>
        </w:tc>
      </w:tr>
      <w:tr w:rsidR="009F1887" w14:paraId="204AB388" w14:textId="77777777">
        <w:tc>
          <w:tcPr>
            <w:tcW w:w="2398" w:type="dxa"/>
          </w:tcPr>
          <w:p w14:paraId="000004F0" w14:textId="77777777" w:rsidR="009F1887" w:rsidRDefault="00790D5B">
            <w:pPr>
              <w:rPr>
                <w:b/>
              </w:rPr>
            </w:pPr>
            <w:r>
              <w:t>General HCF operation – OHS issues</w:t>
            </w:r>
          </w:p>
        </w:tc>
        <w:tc>
          <w:tcPr>
            <w:tcW w:w="3357" w:type="dxa"/>
          </w:tcPr>
          <w:p w14:paraId="000004F1"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 xml:space="preserve">Physical hazards; </w:t>
            </w:r>
          </w:p>
          <w:p w14:paraId="000004F2"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Electrical and explosive hazards;</w:t>
            </w:r>
          </w:p>
          <w:p w14:paraId="000004F3"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Fire;</w:t>
            </w:r>
          </w:p>
          <w:p w14:paraId="000004F4"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Chemical use;</w:t>
            </w:r>
          </w:p>
          <w:p w14:paraId="000004F5"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Ergonomic hazard;</w:t>
            </w:r>
          </w:p>
          <w:p w14:paraId="000004F6"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Radioactive hazard.</w:t>
            </w:r>
          </w:p>
        </w:tc>
        <w:tc>
          <w:tcPr>
            <w:tcW w:w="3060" w:type="dxa"/>
          </w:tcPr>
          <w:p w14:paraId="000004F7" w14:textId="77777777" w:rsidR="009F1887" w:rsidRDefault="009F1887">
            <w:pPr>
              <w:rPr>
                <w:b/>
              </w:rPr>
            </w:pPr>
          </w:p>
        </w:tc>
        <w:tc>
          <w:tcPr>
            <w:tcW w:w="1980" w:type="dxa"/>
          </w:tcPr>
          <w:p w14:paraId="000004F8" w14:textId="77777777" w:rsidR="009F1887" w:rsidRDefault="009F1887">
            <w:pPr>
              <w:rPr>
                <w:b/>
              </w:rPr>
            </w:pPr>
          </w:p>
        </w:tc>
        <w:tc>
          <w:tcPr>
            <w:tcW w:w="1980" w:type="dxa"/>
          </w:tcPr>
          <w:p w14:paraId="000004F9" w14:textId="77777777" w:rsidR="009F1887" w:rsidRDefault="009F1887">
            <w:pPr>
              <w:rPr>
                <w:b/>
              </w:rPr>
            </w:pPr>
          </w:p>
        </w:tc>
        <w:tc>
          <w:tcPr>
            <w:tcW w:w="1615" w:type="dxa"/>
          </w:tcPr>
          <w:p w14:paraId="000004FA" w14:textId="77777777" w:rsidR="009F1887" w:rsidRDefault="009F1887">
            <w:pPr>
              <w:rPr>
                <w:b/>
              </w:rPr>
            </w:pPr>
          </w:p>
        </w:tc>
      </w:tr>
      <w:tr w:rsidR="009F1887" w14:paraId="6CD632BC" w14:textId="77777777">
        <w:tc>
          <w:tcPr>
            <w:tcW w:w="2398" w:type="dxa"/>
          </w:tcPr>
          <w:p w14:paraId="000004FB" w14:textId="77777777" w:rsidR="009F1887" w:rsidRDefault="00790D5B">
            <w:pPr>
              <w:rPr>
                <w:b/>
              </w:rPr>
            </w:pPr>
            <w:r>
              <w:t>HCF operation - Infection control and waste management plan</w:t>
            </w:r>
          </w:p>
        </w:tc>
        <w:tc>
          <w:tcPr>
            <w:tcW w:w="3357" w:type="dxa"/>
          </w:tcPr>
          <w:p w14:paraId="000004FC" w14:textId="77777777" w:rsidR="009F1887" w:rsidRDefault="009F1887">
            <w:pPr>
              <w:rPr>
                <w:b/>
              </w:rPr>
            </w:pPr>
          </w:p>
        </w:tc>
        <w:tc>
          <w:tcPr>
            <w:tcW w:w="3060" w:type="dxa"/>
          </w:tcPr>
          <w:p w14:paraId="000004FD" w14:textId="77777777" w:rsidR="009F1887" w:rsidRDefault="009F1887">
            <w:pPr>
              <w:rPr>
                <w:b/>
              </w:rPr>
            </w:pPr>
          </w:p>
        </w:tc>
        <w:tc>
          <w:tcPr>
            <w:tcW w:w="1980" w:type="dxa"/>
          </w:tcPr>
          <w:p w14:paraId="000004FE" w14:textId="77777777" w:rsidR="009F1887" w:rsidRDefault="009F1887">
            <w:pPr>
              <w:rPr>
                <w:b/>
              </w:rPr>
            </w:pPr>
          </w:p>
        </w:tc>
        <w:tc>
          <w:tcPr>
            <w:tcW w:w="1980" w:type="dxa"/>
          </w:tcPr>
          <w:p w14:paraId="000004FF" w14:textId="77777777" w:rsidR="009F1887" w:rsidRDefault="009F1887">
            <w:pPr>
              <w:rPr>
                <w:b/>
              </w:rPr>
            </w:pPr>
          </w:p>
        </w:tc>
        <w:tc>
          <w:tcPr>
            <w:tcW w:w="1615" w:type="dxa"/>
          </w:tcPr>
          <w:p w14:paraId="00000500" w14:textId="77777777" w:rsidR="009F1887" w:rsidRDefault="009F1887">
            <w:pPr>
              <w:rPr>
                <w:b/>
              </w:rPr>
            </w:pPr>
          </w:p>
        </w:tc>
      </w:tr>
      <w:tr w:rsidR="009F1887" w14:paraId="70653754" w14:textId="77777777">
        <w:tc>
          <w:tcPr>
            <w:tcW w:w="2398" w:type="dxa"/>
          </w:tcPr>
          <w:p w14:paraId="00000501" w14:textId="77777777" w:rsidR="009F1887" w:rsidRDefault="00790D5B">
            <w:pPr>
              <w:rPr>
                <w:b/>
              </w:rPr>
            </w:pPr>
            <w:r>
              <w:t>Waste minimization, reuse and recycling</w:t>
            </w:r>
          </w:p>
        </w:tc>
        <w:tc>
          <w:tcPr>
            <w:tcW w:w="3357" w:type="dxa"/>
          </w:tcPr>
          <w:p w14:paraId="00000502" w14:textId="77777777" w:rsidR="009F1887" w:rsidRDefault="009F1887">
            <w:pPr>
              <w:rPr>
                <w:b/>
              </w:rPr>
            </w:pPr>
          </w:p>
        </w:tc>
        <w:tc>
          <w:tcPr>
            <w:tcW w:w="3060" w:type="dxa"/>
          </w:tcPr>
          <w:p w14:paraId="00000503" w14:textId="77777777" w:rsidR="009F1887" w:rsidRDefault="009F1887">
            <w:pPr>
              <w:rPr>
                <w:b/>
              </w:rPr>
            </w:pPr>
          </w:p>
        </w:tc>
        <w:tc>
          <w:tcPr>
            <w:tcW w:w="1980" w:type="dxa"/>
          </w:tcPr>
          <w:p w14:paraId="00000504" w14:textId="77777777" w:rsidR="009F1887" w:rsidRDefault="009F1887">
            <w:pPr>
              <w:rPr>
                <w:b/>
              </w:rPr>
            </w:pPr>
          </w:p>
        </w:tc>
        <w:tc>
          <w:tcPr>
            <w:tcW w:w="1980" w:type="dxa"/>
          </w:tcPr>
          <w:p w14:paraId="00000505" w14:textId="77777777" w:rsidR="009F1887" w:rsidRDefault="009F1887">
            <w:pPr>
              <w:rPr>
                <w:b/>
              </w:rPr>
            </w:pPr>
          </w:p>
        </w:tc>
        <w:tc>
          <w:tcPr>
            <w:tcW w:w="1615" w:type="dxa"/>
          </w:tcPr>
          <w:p w14:paraId="00000506" w14:textId="77777777" w:rsidR="009F1887" w:rsidRDefault="009F1887">
            <w:pPr>
              <w:rPr>
                <w:b/>
              </w:rPr>
            </w:pPr>
          </w:p>
        </w:tc>
      </w:tr>
      <w:tr w:rsidR="009F1887" w14:paraId="7608740B" w14:textId="77777777">
        <w:tc>
          <w:tcPr>
            <w:tcW w:w="2398" w:type="dxa"/>
          </w:tcPr>
          <w:p w14:paraId="00000507" w14:textId="77777777" w:rsidR="009F1887" w:rsidRDefault="00790D5B">
            <w:pPr>
              <w:rPr>
                <w:b/>
              </w:rPr>
            </w:pPr>
            <w:r>
              <w:t>Delivery and storage of specimen, samples, reagents, pharmaceuticals and medical supplies</w:t>
            </w:r>
          </w:p>
        </w:tc>
        <w:tc>
          <w:tcPr>
            <w:tcW w:w="3357" w:type="dxa"/>
          </w:tcPr>
          <w:p w14:paraId="00000508" w14:textId="77777777" w:rsidR="009F1887" w:rsidRDefault="009F1887">
            <w:pPr>
              <w:rPr>
                <w:b/>
              </w:rPr>
            </w:pPr>
          </w:p>
        </w:tc>
        <w:tc>
          <w:tcPr>
            <w:tcW w:w="3060" w:type="dxa"/>
          </w:tcPr>
          <w:p w14:paraId="00000509" w14:textId="77777777" w:rsidR="009F1887" w:rsidRDefault="009F1887">
            <w:pPr>
              <w:rPr>
                <w:b/>
              </w:rPr>
            </w:pPr>
          </w:p>
        </w:tc>
        <w:tc>
          <w:tcPr>
            <w:tcW w:w="1980" w:type="dxa"/>
          </w:tcPr>
          <w:p w14:paraId="0000050A" w14:textId="77777777" w:rsidR="009F1887" w:rsidRDefault="009F1887">
            <w:pPr>
              <w:rPr>
                <w:b/>
              </w:rPr>
            </w:pPr>
          </w:p>
        </w:tc>
        <w:tc>
          <w:tcPr>
            <w:tcW w:w="1980" w:type="dxa"/>
          </w:tcPr>
          <w:p w14:paraId="0000050B" w14:textId="77777777" w:rsidR="009F1887" w:rsidRDefault="009F1887">
            <w:pPr>
              <w:rPr>
                <w:b/>
              </w:rPr>
            </w:pPr>
          </w:p>
        </w:tc>
        <w:tc>
          <w:tcPr>
            <w:tcW w:w="1615" w:type="dxa"/>
          </w:tcPr>
          <w:p w14:paraId="0000050C" w14:textId="77777777" w:rsidR="009F1887" w:rsidRDefault="009F1887">
            <w:pPr>
              <w:rPr>
                <w:b/>
              </w:rPr>
            </w:pPr>
          </w:p>
        </w:tc>
      </w:tr>
      <w:tr w:rsidR="009F1887" w14:paraId="3D58C4CE" w14:textId="77777777">
        <w:tc>
          <w:tcPr>
            <w:tcW w:w="2398" w:type="dxa"/>
          </w:tcPr>
          <w:p w14:paraId="0000050D" w14:textId="77777777" w:rsidR="009F1887" w:rsidRDefault="00790D5B">
            <w:pPr>
              <w:rPr>
                <w:b/>
              </w:rPr>
            </w:pPr>
            <w:r>
              <w:t>Storage and handling of specimen, samples, reagents, and infectious materials</w:t>
            </w:r>
          </w:p>
        </w:tc>
        <w:tc>
          <w:tcPr>
            <w:tcW w:w="3357" w:type="dxa"/>
          </w:tcPr>
          <w:p w14:paraId="0000050E" w14:textId="77777777" w:rsidR="009F1887" w:rsidRDefault="009F1887">
            <w:pPr>
              <w:rPr>
                <w:b/>
              </w:rPr>
            </w:pPr>
          </w:p>
        </w:tc>
        <w:tc>
          <w:tcPr>
            <w:tcW w:w="3060" w:type="dxa"/>
          </w:tcPr>
          <w:p w14:paraId="0000050F" w14:textId="77777777" w:rsidR="009F1887" w:rsidRDefault="009F1887">
            <w:pPr>
              <w:rPr>
                <w:b/>
              </w:rPr>
            </w:pPr>
          </w:p>
        </w:tc>
        <w:tc>
          <w:tcPr>
            <w:tcW w:w="1980" w:type="dxa"/>
          </w:tcPr>
          <w:p w14:paraId="00000510" w14:textId="77777777" w:rsidR="009F1887" w:rsidRDefault="009F1887">
            <w:pPr>
              <w:rPr>
                <w:b/>
              </w:rPr>
            </w:pPr>
          </w:p>
        </w:tc>
        <w:tc>
          <w:tcPr>
            <w:tcW w:w="1980" w:type="dxa"/>
          </w:tcPr>
          <w:p w14:paraId="00000511" w14:textId="77777777" w:rsidR="009F1887" w:rsidRDefault="009F1887">
            <w:pPr>
              <w:rPr>
                <w:b/>
              </w:rPr>
            </w:pPr>
          </w:p>
        </w:tc>
        <w:tc>
          <w:tcPr>
            <w:tcW w:w="1615" w:type="dxa"/>
          </w:tcPr>
          <w:p w14:paraId="00000512" w14:textId="77777777" w:rsidR="009F1887" w:rsidRDefault="009F1887">
            <w:pPr>
              <w:rPr>
                <w:b/>
              </w:rPr>
            </w:pPr>
          </w:p>
        </w:tc>
      </w:tr>
      <w:tr w:rsidR="009F1887" w14:paraId="1182E197" w14:textId="77777777">
        <w:tc>
          <w:tcPr>
            <w:tcW w:w="2398" w:type="dxa"/>
          </w:tcPr>
          <w:p w14:paraId="00000513" w14:textId="77777777" w:rsidR="009F1887" w:rsidRDefault="00790D5B">
            <w:pPr>
              <w:rPr>
                <w:b/>
              </w:rPr>
            </w:pPr>
            <w:r>
              <w:t>Waste segregation, packaging, color coding and labeling</w:t>
            </w:r>
          </w:p>
        </w:tc>
        <w:tc>
          <w:tcPr>
            <w:tcW w:w="3357" w:type="dxa"/>
          </w:tcPr>
          <w:p w14:paraId="00000514" w14:textId="77777777" w:rsidR="009F1887" w:rsidRDefault="009F1887">
            <w:pPr>
              <w:rPr>
                <w:b/>
              </w:rPr>
            </w:pPr>
          </w:p>
        </w:tc>
        <w:tc>
          <w:tcPr>
            <w:tcW w:w="3060" w:type="dxa"/>
          </w:tcPr>
          <w:p w14:paraId="00000515" w14:textId="77777777" w:rsidR="009F1887" w:rsidRDefault="009F1887">
            <w:pPr>
              <w:rPr>
                <w:b/>
              </w:rPr>
            </w:pPr>
          </w:p>
        </w:tc>
        <w:tc>
          <w:tcPr>
            <w:tcW w:w="1980" w:type="dxa"/>
          </w:tcPr>
          <w:p w14:paraId="00000516" w14:textId="77777777" w:rsidR="009F1887" w:rsidRDefault="009F1887">
            <w:pPr>
              <w:rPr>
                <w:b/>
              </w:rPr>
            </w:pPr>
          </w:p>
        </w:tc>
        <w:tc>
          <w:tcPr>
            <w:tcW w:w="1980" w:type="dxa"/>
          </w:tcPr>
          <w:p w14:paraId="00000517" w14:textId="77777777" w:rsidR="009F1887" w:rsidRDefault="009F1887">
            <w:pPr>
              <w:rPr>
                <w:b/>
              </w:rPr>
            </w:pPr>
          </w:p>
        </w:tc>
        <w:tc>
          <w:tcPr>
            <w:tcW w:w="1615" w:type="dxa"/>
          </w:tcPr>
          <w:p w14:paraId="00000518" w14:textId="77777777" w:rsidR="009F1887" w:rsidRDefault="009F1887">
            <w:pPr>
              <w:rPr>
                <w:b/>
              </w:rPr>
            </w:pPr>
          </w:p>
        </w:tc>
      </w:tr>
      <w:tr w:rsidR="009F1887" w14:paraId="65150DA8" w14:textId="77777777">
        <w:tc>
          <w:tcPr>
            <w:tcW w:w="2398" w:type="dxa"/>
          </w:tcPr>
          <w:p w14:paraId="00000519" w14:textId="77777777" w:rsidR="009F1887" w:rsidRDefault="00790D5B">
            <w:r>
              <w:t>Onsite collection and transport</w:t>
            </w:r>
          </w:p>
        </w:tc>
        <w:tc>
          <w:tcPr>
            <w:tcW w:w="3357" w:type="dxa"/>
          </w:tcPr>
          <w:p w14:paraId="0000051A" w14:textId="77777777" w:rsidR="009F1887" w:rsidRDefault="009F1887">
            <w:pPr>
              <w:rPr>
                <w:b/>
              </w:rPr>
            </w:pPr>
          </w:p>
        </w:tc>
        <w:tc>
          <w:tcPr>
            <w:tcW w:w="3060" w:type="dxa"/>
          </w:tcPr>
          <w:p w14:paraId="0000051B" w14:textId="77777777" w:rsidR="009F1887" w:rsidRDefault="009F1887">
            <w:pPr>
              <w:rPr>
                <w:b/>
              </w:rPr>
            </w:pPr>
          </w:p>
        </w:tc>
        <w:tc>
          <w:tcPr>
            <w:tcW w:w="1980" w:type="dxa"/>
          </w:tcPr>
          <w:p w14:paraId="0000051C" w14:textId="77777777" w:rsidR="009F1887" w:rsidRDefault="009F1887">
            <w:pPr>
              <w:rPr>
                <w:b/>
              </w:rPr>
            </w:pPr>
          </w:p>
        </w:tc>
        <w:tc>
          <w:tcPr>
            <w:tcW w:w="1980" w:type="dxa"/>
          </w:tcPr>
          <w:p w14:paraId="0000051D" w14:textId="77777777" w:rsidR="009F1887" w:rsidRDefault="009F1887">
            <w:pPr>
              <w:rPr>
                <w:b/>
              </w:rPr>
            </w:pPr>
          </w:p>
        </w:tc>
        <w:tc>
          <w:tcPr>
            <w:tcW w:w="1615" w:type="dxa"/>
          </w:tcPr>
          <w:p w14:paraId="0000051E" w14:textId="77777777" w:rsidR="009F1887" w:rsidRDefault="009F1887">
            <w:pPr>
              <w:rPr>
                <w:b/>
              </w:rPr>
            </w:pPr>
          </w:p>
        </w:tc>
      </w:tr>
      <w:tr w:rsidR="009F1887" w14:paraId="73B9E1E3" w14:textId="77777777">
        <w:tc>
          <w:tcPr>
            <w:tcW w:w="2398" w:type="dxa"/>
          </w:tcPr>
          <w:p w14:paraId="0000051F" w14:textId="77777777" w:rsidR="009F1887" w:rsidRDefault="00790D5B">
            <w:r>
              <w:t>Waste storage</w:t>
            </w:r>
          </w:p>
        </w:tc>
        <w:tc>
          <w:tcPr>
            <w:tcW w:w="3357" w:type="dxa"/>
          </w:tcPr>
          <w:p w14:paraId="00000520" w14:textId="77777777" w:rsidR="009F1887" w:rsidRDefault="009F1887">
            <w:pPr>
              <w:rPr>
                <w:b/>
              </w:rPr>
            </w:pPr>
          </w:p>
        </w:tc>
        <w:tc>
          <w:tcPr>
            <w:tcW w:w="3060" w:type="dxa"/>
          </w:tcPr>
          <w:p w14:paraId="00000521" w14:textId="77777777" w:rsidR="009F1887" w:rsidRDefault="009F1887">
            <w:pPr>
              <w:rPr>
                <w:b/>
              </w:rPr>
            </w:pPr>
          </w:p>
        </w:tc>
        <w:tc>
          <w:tcPr>
            <w:tcW w:w="1980" w:type="dxa"/>
          </w:tcPr>
          <w:p w14:paraId="00000522" w14:textId="77777777" w:rsidR="009F1887" w:rsidRDefault="009F1887">
            <w:pPr>
              <w:rPr>
                <w:b/>
              </w:rPr>
            </w:pPr>
          </w:p>
        </w:tc>
        <w:tc>
          <w:tcPr>
            <w:tcW w:w="1980" w:type="dxa"/>
          </w:tcPr>
          <w:p w14:paraId="00000523" w14:textId="77777777" w:rsidR="009F1887" w:rsidRDefault="009F1887">
            <w:pPr>
              <w:rPr>
                <w:b/>
              </w:rPr>
            </w:pPr>
          </w:p>
        </w:tc>
        <w:tc>
          <w:tcPr>
            <w:tcW w:w="1615" w:type="dxa"/>
          </w:tcPr>
          <w:p w14:paraId="00000524" w14:textId="77777777" w:rsidR="009F1887" w:rsidRDefault="009F1887">
            <w:pPr>
              <w:rPr>
                <w:b/>
              </w:rPr>
            </w:pPr>
          </w:p>
        </w:tc>
      </w:tr>
      <w:tr w:rsidR="009F1887" w14:paraId="3D1BA4F8" w14:textId="77777777">
        <w:tc>
          <w:tcPr>
            <w:tcW w:w="2398" w:type="dxa"/>
          </w:tcPr>
          <w:p w14:paraId="00000525" w14:textId="77777777" w:rsidR="009F1887" w:rsidRDefault="00790D5B">
            <w:r>
              <w:t>Onsite waste treatment and disposal</w:t>
            </w:r>
          </w:p>
        </w:tc>
        <w:tc>
          <w:tcPr>
            <w:tcW w:w="3357" w:type="dxa"/>
          </w:tcPr>
          <w:p w14:paraId="00000526" w14:textId="77777777" w:rsidR="009F1887" w:rsidRDefault="009F1887">
            <w:pPr>
              <w:rPr>
                <w:b/>
              </w:rPr>
            </w:pPr>
          </w:p>
        </w:tc>
        <w:tc>
          <w:tcPr>
            <w:tcW w:w="3060" w:type="dxa"/>
          </w:tcPr>
          <w:p w14:paraId="00000527" w14:textId="77777777" w:rsidR="009F1887" w:rsidRDefault="009F1887">
            <w:pPr>
              <w:rPr>
                <w:b/>
              </w:rPr>
            </w:pPr>
          </w:p>
        </w:tc>
        <w:tc>
          <w:tcPr>
            <w:tcW w:w="1980" w:type="dxa"/>
          </w:tcPr>
          <w:p w14:paraId="00000528" w14:textId="77777777" w:rsidR="009F1887" w:rsidRDefault="009F1887">
            <w:pPr>
              <w:rPr>
                <w:b/>
              </w:rPr>
            </w:pPr>
          </w:p>
        </w:tc>
        <w:tc>
          <w:tcPr>
            <w:tcW w:w="1980" w:type="dxa"/>
          </w:tcPr>
          <w:p w14:paraId="00000529" w14:textId="77777777" w:rsidR="009F1887" w:rsidRDefault="009F1887">
            <w:pPr>
              <w:rPr>
                <w:b/>
              </w:rPr>
            </w:pPr>
          </w:p>
        </w:tc>
        <w:tc>
          <w:tcPr>
            <w:tcW w:w="1615" w:type="dxa"/>
          </w:tcPr>
          <w:p w14:paraId="0000052A" w14:textId="77777777" w:rsidR="009F1887" w:rsidRDefault="009F1887">
            <w:pPr>
              <w:rPr>
                <w:b/>
              </w:rPr>
            </w:pPr>
          </w:p>
        </w:tc>
      </w:tr>
      <w:tr w:rsidR="009F1887" w14:paraId="6894A053" w14:textId="77777777">
        <w:tc>
          <w:tcPr>
            <w:tcW w:w="2398" w:type="dxa"/>
          </w:tcPr>
          <w:p w14:paraId="0000052B" w14:textId="77777777" w:rsidR="009F1887" w:rsidRDefault="00790D5B">
            <w:r>
              <w:t xml:space="preserve">Waste transportation to and disposal in offsite treatment and disposal facilities </w:t>
            </w:r>
          </w:p>
        </w:tc>
        <w:tc>
          <w:tcPr>
            <w:tcW w:w="3357" w:type="dxa"/>
          </w:tcPr>
          <w:p w14:paraId="0000052C" w14:textId="77777777" w:rsidR="009F1887" w:rsidRDefault="009F1887">
            <w:pPr>
              <w:rPr>
                <w:b/>
              </w:rPr>
            </w:pPr>
          </w:p>
        </w:tc>
        <w:tc>
          <w:tcPr>
            <w:tcW w:w="3060" w:type="dxa"/>
          </w:tcPr>
          <w:p w14:paraId="0000052D" w14:textId="77777777" w:rsidR="009F1887" w:rsidRDefault="009F1887">
            <w:pPr>
              <w:rPr>
                <w:b/>
              </w:rPr>
            </w:pPr>
          </w:p>
        </w:tc>
        <w:tc>
          <w:tcPr>
            <w:tcW w:w="1980" w:type="dxa"/>
          </w:tcPr>
          <w:p w14:paraId="0000052E" w14:textId="77777777" w:rsidR="009F1887" w:rsidRDefault="009F1887">
            <w:pPr>
              <w:rPr>
                <w:b/>
              </w:rPr>
            </w:pPr>
          </w:p>
        </w:tc>
        <w:tc>
          <w:tcPr>
            <w:tcW w:w="1980" w:type="dxa"/>
          </w:tcPr>
          <w:p w14:paraId="0000052F" w14:textId="77777777" w:rsidR="009F1887" w:rsidRDefault="009F1887">
            <w:pPr>
              <w:rPr>
                <w:b/>
              </w:rPr>
            </w:pPr>
          </w:p>
        </w:tc>
        <w:tc>
          <w:tcPr>
            <w:tcW w:w="1615" w:type="dxa"/>
          </w:tcPr>
          <w:p w14:paraId="00000530" w14:textId="77777777" w:rsidR="009F1887" w:rsidRDefault="009F1887">
            <w:pPr>
              <w:rPr>
                <w:b/>
              </w:rPr>
            </w:pPr>
          </w:p>
        </w:tc>
      </w:tr>
      <w:tr w:rsidR="009F1887" w14:paraId="28D76F03" w14:textId="77777777">
        <w:tc>
          <w:tcPr>
            <w:tcW w:w="2398" w:type="dxa"/>
          </w:tcPr>
          <w:p w14:paraId="00000531" w14:textId="77777777" w:rsidR="009F1887" w:rsidRDefault="00790D5B">
            <w:r>
              <w:t>HCF operation – transboundary movement of specimen, samples, reagents, medical equipment, and infectious materials</w:t>
            </w:r>
          </w:p>
        </w:tc>
        <w:tc>
          <w:tcPr>
            <w:tcW w:w="3357" w:type="dxa"/>
          </w:tcPr>
          <w:p w14:paraId="00000532" w14:textId="77777777" w:rsidR="009F1887" w:rsidRDefault="009F1887">
            <w:pPr>
              <w:rPr>
                <w:b/>
              </w:rPr>
            </w:pPr>
          </w:p>
        </w:tc>
        <w:tc>
          <w:tcPr>
            <w:tcW w:w="3060" w:type="dxa"/>
          </w:tcPr>
          <w:p w14:paraId="00000533" w14:textId="77777777" w:rsidR="009F1887" w:rsidRDefault="009F1887">
            <w:pPr>
              <w:rPr>
                <w:b/>
              </w:rPr>
            </w:pPr>
          </w:p>
        </w:tc>
        <w:tc>
          <w:tcPr>
            <w:tcW w:w="1980" w:type="dxa"/>
          </w:tcPr>
          <w:p w14:paraId="00000534" w14:textId="77777777" w:rsidR="009F1887" w:rsidRDefault="009F1887">
            <w:pPr>
              <w:rPr>
                <w:b/>
              </w:rPr>
            </w:pPr>
          </w:p>
        </w:tc>
        <w:tc>
          <w:tcPr>
            <w:tcW w:w="1980" w:type="dxa"/>
          </w:tcPr>
          <w:p w14:paraId="00000535" w14:textId="77777777" w:rsidR="009F1887" w:rsidRDefault="009F1887">
            <w:pPr>
              <w:rPr>
                <w:b/>
              </w:rPr>
            </w:pPr>
          </w:p>
        </w:tc>
        <w:tc>
          <w:tcPr>
            <w:tcW w:w="1615" w:type="dxa"/>
          </w:tcPr>
          <w:p w14:paraId="00000536" w14:textId="77777777" w:rsidR="009F1887" w:rsidRDefault="009F1887">
            <w:pPr>
              <w:rPr>
                <w:b/>
              </w:rPr>
            </w:pPr>
          </w:p>
        </w:tc>
      </w:tr>
      <w:tr w:rsidR="009F1887" w14:paraId="6BCA9E47" w14:textId="77777777">
        <w:tc>
          <w:tcPr>
            <w:tcW w:w="2398" w:type="dxa"/>
          </w:tcPr>
          <w:p w14:paraId="00000537" w14:textId="77777777" w:rsidR="009F1887" w:rsidRDefault="00790D5B">
            <w:r>
              <w:t>Emergency events</w:t>
            </w:r>
          </w:p>
        </w:tc>
        <w:tc>
          <w:tcPr>
            <w:tcW w:w="3357" w:type="dxa"/>
          </w:tcPr>
          <w:p w14:paraId="00000538"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Spillage;</w:t>
            </w:r>
          </w:p>
          <w:p w14:paraId="00000539"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Occupational exposure to infectious;</w:t>
            </w:r>
          </w:p>
          <w:p w14:paraId="0000053A"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Exposure to radiation;</w:t>
            </w:r>
          </w:p>
          <w:p w14:paraId="0000053B"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Accidental releases of infectious or hazardous substances to the environment;</w:t>
            </w:r>
          </w:p>
          <w:p w14:paraId="0000053C"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Medical equipment failure;</w:t>
            </w:r>
          </w:p>
          <w:p w14:paraId="0000053D"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lastRenderedPageBreak/>
              <w:t>Failure of solid waste and wastewater treatment facilities;</w:t>
            </w:r>
          </w:p>
          <w:p w14:paraId="0000053E" w14:textId="77777777" w:rsidR="009F1887" w:rsidRDefault="00790D5B">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Fire;</w:t>
            </w:r>
          </w:p>
          <w:p w14:paraId="0000053F" w14:textId="77777777" w:rsidR="009F1887" w:rsidRDefault="00790D5B">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Other emergent events</w:t>
            </w:r>
          </w:p>
        </w:tc>
        <w:tc>
          <w:tcPr>
            <w:tcW w:w="3060" w:type="dxa"/>
          </w:tcPr>
          <w:p w14:paraId="00000540" w14:textId="77777777" w:rsidR="009F1887" w:rsidRDefault="00790D5B">
            <w:pPr>
              <w:rPr>
                <w:b/>
              </w:rPr>
            </w:pPr>
            <w:r>
              <w:lastRenderedPageBreak/>
              <w:t>Emergency response plan</w:t>
            </w:r>
          </w:p>
        </w:tc>
        <w:tc>
          <w:tcPr>
            <w:tcW w:w="1980" w:type="dxa"/>
          </w:tcPr>
          <w:p w14:paraId="00000541" w14:textId="77777777" w:rsidR="009F1887" w:rsidRDefault="009F1887">
            <w:pPr>
              <w:rPr>
                <w:b/>
              </w:rPr>
            </w:pPr>
          </w:p>
        </w:tc>
        <w:tc>
          <w:tcPr>
            <w:tcW w:w="1980" w:type="dxa"/>
          </w:tcPr>
          <w:p w14:paraId="00000542" w14:textId="77777777" w:rsidR="009F1887" w:rsidRDefault="009F1887">
            <w:pPr>
              <w:rPr>
                <w:b/>
              </w:rPr>
            </w:pPr>
          </w:p>
        </w:tc>
        <w:tc>
          <w:tcPr>
            <w:tcW w:w="1615" w:type="dxa"/>
          </w:tcPr>
          <w:p w14:paraId="00000543" w14:textId="77777777" w:rsidR="009F1887" w:rsidRDefault="009F1887">
            <w:pPr>
              <w:rPr>
                <w:b/>
              </w:rPr>
            </w:pPr>
          </w:p>
        </w:tc>
      </w:tr>
      <w:tr w:rsidR="009F1887" w14:paraId="572701FA" w14:textId="77777777">
        <w:tc>
          <w:tcPr>
            <w:tcW w:w="2398" w:type="dxa"/>
          </w:tcPr>
          <w:p w14:paraId="00000544" w14:textId="77777777" w:rsidR="009F1887" w:rsidRDefault="00790D5B">
            <w:r>
              <w:t>Operation of acquired assets for holding potential COVID-19 patients</w:t>
            </w:r>
          </w:p>
        </w:tc>
        <w:tc>
          <w:tcPr>
            <w:tcW w:w="3357" w:type="dxa"/>
          </w:tcPr>
          <w:p w14:paraId="00000545"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3060" w:type="dxa"/>
          </w:tcPr>
          <w:p w14:paraId="00000546" w14:textId="77777777" w:rsidR="009F1887" w:rsidRDefault="009F1887"/>
        </w:tc>
        <w:tc>
          <w:tcPr>
            <w:tcW w:w="1980" w:type="dxa"/>
          </w:tcPr>
          <w:p w14:paraId="00000547" w14:textId="77777777" w:rsidR="009F1887" w:rsidRDefault="009F1887">
            <w:pPr>
              <w:rPr>
                <w:b/>
              </w:rPr>
            </w:pPr>
          </w:p>
        </w:tc>
        <w:tc>
          <w:tcPr>
            <w:tcW w:w="1980" w:type="dxa"/>
          </w:tcPr>
          <w:p w14:paraId="00000548" w14:textId="77777777" w:rsidR="009F1887" w:rsidRDefault="009F1887">
            <w:pPr>
              <w:rPr>
                <w:b/>
              </w:rPr>
            </w:pPr>
          </w:p>
        </w:tc>
        <w:tc>
          <w:tcPr>
            <w:tcW w:w="1615" w:type="dxa"/>
          </w:tcPr>
          <w:p w14:paraId="00000549" w14:textId="77777777" w:rsidR="009F1887" w:rsidRDefault="009F1887">
            <w:pPr>
              <w:rPr>
                <w:b/>
              </w:rPr>
            </w:pPr>
          </w:p>
        </w:tc>
      </w:tr>
      <w:tr w:rsidR="009F1887" w14:paraId="0E83BB26" w14:textId="77777777">
        <w:tc>
          <w:tcPr>
            <w:tcW w:w="2398" w:type="dxa"/>
          </w:tcPr>
          <w:p w14:paraId="0000054A" w14:textId="77777777" w:rsidR="009F1887" w:rsidRDefault="00790D5B">
            <w:r>
              <w:rPr>
                <w:i/>
              </w:rPr>
              <w:t>To be expanded</w:t>
            </w:r>
          </w:p>
        </w:tc>
        <w:tc>
          <w:tcPr>
            <w:tcW w:w="3357" w:type="dxa"/>
          </w:tcPr>
          <w:p w14:paraId="0000054B" w14:textId="77777777" w:rsidR="009F1887" w:rsidRDefault="009F1887">
            <w:pPr>
              <w:pBdr>
                <w:top w:val="nil"/>
                <w:left w:val="nil"/>
                <w:bottom w:val="nil"/>
                <w:right w:val="nil"/>
                <w:between w:val="nil"/>
              </w:pBdr>
              <w:spacing w:after="200" w:line="276" w:lineRule="auto"/>
              <w:ind w:left="360"/>
              <w:rPr>
                <w:rFonts w:ascii="Calibri" w:eastAsia="Calibri" w:hAnsi="Calibri" w:cs="Calibri"/>
                <w:color w:val="000000"/>
                <w:sz w:val="22"/>
                <w:szCs w:val="22"/>
              </w:rPr>
            </w:pPr>
          </w:p>
        </w:tc>
        <w:tc>
          <w:tcPr>
            <w:tcW w:w="3060" w:type="dxa"/>
          </w:tcPr>
          <w:p w14:paraId="0000054C" w14:textId="77777777" w:rsidR="009F1887" w:rsidRDefault="009F1887"/>
        </w:tc>
        <w:tc>
          <w:tcPr>
            <w:tcW w:w="1980" w:type="dxa"/>
          </w:tcPr>
          <w:p w14:paraId="0000054D" w14:textId="77777777" w:rsidR="009F1887" w:rsidRDefault="009F1887">
            <w:pPr>
              <w:rPr>
                <w:b/>
              </w:rPr>
            </w:pPr>
          </w:p>
        </w:tc>
        <w:tc>
          <w:tcPr>
            <w:tcW w:w="1980" w:type="dxa"/>
          </w:tcPr>
          <w:p w14:paraId="0000054E" w14:textId="77777777" w:rsidR="009F1887" w:rsidRDefault="009F1887">
            <w:pPr>
              <w:rPr>
                <w:b/>
              </w:rPr>
            </w:pPr>
          </w:p>
        </w:tc>
        <w:tc>
          <w:tcPr>
            <w:tcW w:w="1615" w:type="dxa"/>
          </w:tcPr>
          <w:p w14:paraId="0000054F" w14:textId="77777777" w:rsidR="009F1887" w:rsidRDefault="009F1887">
            <w:pPr>
              <w:rPr>
                <w:b/>
              </w:rPr>
            </w:pPr>
          </w:p>
        </w:tc>
      </w:tr>
    </w:tbl>
    <w:p w14:paraId="00000550" w14:textId="77777777" w:rsidR="009F1887" w:rsidRDefault="009F1887">
      <w:pPr>
        <w:rPr>
          <w:rFonts w:ascii="Times New Roman" w:eastAsia="Times New Roman" w:hAnsi="Times New Roman" w:cs="Times New Roman"/>
          <w:b/>
        </w:rPr>
      </w:pPr>
    </w:p>
    <w:p w14:paraId="00000551" w14:textId="77777777" w:rsidR="009F1887" w:rsidRDefault="009F1887">
      <w:pPr>
        <w:tabs>
          <w:tab w:val="left" w:pos="1515"/>
        </w:tabs>
        <w:sectPr w:rsidR="009F1887">
          <w:headerReference w:type="default" r:id="rId51"/>
          <w:pgSz w:w="12240" w:h="15840"/>
          <w:pgMar w:top="720" w:right="720" w:bottom="720" w:left="720" w:header="720" w:footer="720" w:gutter="0"/>
          <w:cols w:space="720" w:equalWidth="0">
            <w:col w:w="9360"/>
          </w:cols>
        </w:sectPr>
      </w:pPr>
    </w:p>
    <w:p w14:paraId="00000552" w14:textId="77777777" w:rsidR="009F1887" w:rsidRDefault="00790D5B">
      <w:pPr>
        <w:keepNext/>
        <w:keepLines/>
        <w:pBdr>
          <w:top w:val="nil"/>
          <w:left w:val="nil"/>
          <w:bottom w:val="nil"/>
          <w:right w:val="nil"/>
          <w:between w:val="nil"/>
        </w:pBdr>
        <w:spacing w:after="240" w:line="240" w:lineRule="auto"/>
        <w:ind w:left="-180"/>
        <w:rPr>
          <w:rFonts w:ascii="Times New Roman" w:eastAsia="Times New Roman" w:hAnsi="Times New Roman" w:cs="Times New Roman"/>
          <w:color w:val="000000"/>
        </w:rPr>
      </w:pPr>
      <w:bookmarkStart w:id="696" w:name="_heading=h.1hmsyys" w:colFirst="0" w:colLast="0"/>
      <w:bookmarkEnd w:id="696"/>
      <w:r>
        <w:rPr>
          <w:rFonts w:ascii="Times New Roman" w:eastAsia="Times New Roman" w:hAnsi="Times New Roman" w:cs="Times New Roman"/>
          <w:b/>
          <w:color w:val="000000"/>
        </w:rPr>
        <w:lastRenderedPageBreak/>
        <w:t>Annex V. Monthly Field Environmental and Social Monitoring Checklist</w:t>
      </w:r>
    </w:p>
    <w:tbl>
      <w:tblPr>
        <w:tblStyle w:val="a7"/>
        <w:tblW w:w="139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8"/>
        <w:gridCol w:w="1170"/>
        <w:gridCol w:w="1165"/>
        <w:gridCol w:w="1085"/>
        <w:gridCol w:w="1080"/>
        <w:gridCol w:w="3330"/>
      </w:tblGrid>
      <w:tr w:rsidR="009F1887" w14:paraId="5A071FE2" w14:textId="77777777">
        <w:trPr>
          <w:trHeight w:val="332"/>
        </w:trPr>
        <w:tc>
          <w:tcPr>
            <w:tcW w:w="6138" w:type="dxa"/>
            <w:shd w:val="clear" w:color="auto" w:fill="F2F2F2"/>
            <w:vAlign w:val="center"/>
          </w:tcPr>
          <w:p w14:paraId="00000553" w14:textId="77777777" w:rsidR="009F1887" w:rsidRDefault="00790D5B">
            <w:r>
              <w:t>Site location (name of healthcare facility and its address)</w:t>
            </w:r>
          </w:p>
        </w:tc>
        <w:tc>
          <w:tcPr>
            <w:tcW w:w="7830" w:type="dxa"/>
            <w:gridSpan w:val="5"/>
            <w:shd w:val="clear" w:color="auto" w:fill="auto"/>
            <w:vAlign w:val="center"/>
          </w:tcPr>
          <w:p w14:paraId="00000554" w14:textId="77777777" w:rsidR="009F1887" w:rsidRDefault="009F1887"/>
        </w:tc>
      </w:tr>
      <w:tr w:rsidR="009F1887" w14:paraId="5E5F0C79" w14:textId="77777777">
        <w:trPr>
          <w:trHeight w:val="260"/>
        </w:trPr>
        <w:tc>
          <w:tcPr>
            <w:tcW w:w="6138" w:type="dxa"/>
            <w:shd w:val="clear" w:color="auto" w:fill="F2F2F2"/>
            <w:vAlign w:val="center"/>
          </w:tcPr>
          <w:p w14:paraId="00000559" w14:textId="77777777" w:rsidR="009F1887" w:rsidRDefault="00790D5B">
            <w:r>
              <w:t>Name of civil works contractor</w:t>
            </w:r>
          </w:p>
        </w:tc>
        <w:tc>
          <w:tcPr>
            <w:tcW w:w="7830" w:type="dxa"/>
            <w:gridSpan w:val="5"/>
            <w:shd w:val="clear" w:color="auto" w:fill="auto"/>
            <w:vAlign w:val="center"/>
          </w:tcPr>
          <w:p w14:paraId="0000055A" w14:textId="77777777" w:rsidR="009F1887" w:rsidRDefault="009F1887"/>
        </w:tc>
      </w:tr>
      <w:tr w:rsidR="009F1887" w14:paraId="7F6E62F5" w14:textId="77777777">
        <w:trPr>
          <w:trHeight w:val="242"/>
        </w:trPr>
        <w:tc>
          <w:tcPr>
            <w:tcW w:w="6138" w:type="dxa"/>
            <w:shd w:val="clear" w:color="auto" w:fill="F2F2F2"/>
            <w:vAlign w:val="center"/>
          </w:tcPr>
          <w:p w14:paraId="0000055F" w14:textId="77777777" w:rsidR="009F1887" w:rsidRDefault="00790D5B">
            <w:r>
              <w:t>Name of PIU monitor visiting the site</w:t>
            </w:r>
          </w:p>
        </w:tc>
        <w:tc>
          <w:tcPr>
            <w:tcW w:w="7830" w:type="dxa"/>
            <w:gridSpan w:val="5"/>
            <w:shd w:val="clear" w:color="auto" w:fill="auto"/>
            <w:vAlign w:val="center"/>
          </w:tcPr>
          <w:p w14:paraId="00000560" w14:textId="77777777" w:rsidR="009F1887" w:rsidRDefault="009F1887"/>
        </w:tc>
      </w:tr>
      <w:tr w:rsidR="009F1887" w14:paraId="48D74B83" w14:textId="77777777">
        <w:trPr>
          <w:trHeight w:val="305"/>
        </w:trPr>
        <w:tc>
          <w:tcPr>
            <w:tcW w:w="6138" w:type="dxa"/>
            <w:shd w:val="clear" w:color="auto" w:fill="F2F2F2"/>
            <w:vAlign w:val="center"/>
          </w:tcPr>
          <w:p w14:paraId="00000565" w14:textId="77777777" w:rsidR="009F1887" w:rsidRDefault="00790D5B">
            <w:r>
              <w:t>Date of site visit</w:t>
            </w:r>
          </w:p>
        </w:tc>
        <w:tc>
          <w:tcPr>
            <w:tcW w:w="7830" w:type="dxa"/>
            <w:gridSpan w:val="5"/>
            <w:shd w:val="clear" w:color="auto" w:fill="auto"/>
            <w:vAlign w:val="center"/>
          </w:tcPr>
          <w:p w14:paraId="00000566" w14:textId="77777777" w:rsidR="009F1887" w:rsidRDefault="009F1887"/>
        </w:tc>
      </w:tr>
      <w:tr w:rsidR="009F1887" w14:paraId="0678B9D5" w14:textId="77777777">
        <w:trPr>
          <w:trHeight w:val="278"/>
        </w:trPr>
        <w:tc>
          <w:tcPr>
            <w:tcW w:w="6138" w:type="dxa"/>
            <w:shd w:val="clear" w:color="auto" w:fill="F2F2F2"/>
            <w:vAlign w:val="center"/>
          </w:tcPr>
          <w:p w14:paraId="0000056B" w14:textId="77777777" w:rsidR="009F1887" w:rsidRDefault="00790D5B">
            <w:r>
              <w:t>Status of civil works (briefly describe types of works underway in the report period)</w:t>
            </w:r>
          </w:p>
        </w:tc>
        <w:tc>
          <w:tcPr>
            <w:tcW w:w="7830" w:type="dxa"/>
            <w:gridSpan w:val="5"/>
            <w:tcBorders>
              <w:bottom w:val="single" w:sz="4" w:space="0" w:color="000000"/>
            </w:tcBorders>
            <w:shd w:val="clear" w:color="auto" w:fill="auto"/>
            <w:vAlign w:val="center"/>
          </w:tcPr>
          <w:p w14:paraId="0000056C" w14:textId="77777777" w:rsidR="009F1887" w:rsidRDefault="009F1887"/>
        </w:tc>
      </w:tr>
      <w:tr w:rsidR="009F1887" w14:paraId="607DE0AA" w14:textId="77777777">
        <w:trPr>
          <w:trHeight w:val="278"/>
        </w:trPr>
        <w:tc>
          <w:tcPr>
            <w:tcW w:w="6138" w:type="dxa"/>
            <w:shd w:val="clear" w:color="auto" w:fill="F2F2F2"/>
            <w:vAlign w:val="center"/>
          </w:tcPr>
          <w:p w14:paraId="00000571" w14:textId="77777777" w:rsidR="009F1887" w:rsidRDefault="00790D5B">
            <w:r>
              <w:t>Number of contracted workers on site during the report period</w:t>
            </w:r>
          </w:p>
        </w:tc>
        <w:tc>
          <w:tcPr>
            <w:tcW w:w="7830" w:type="dxa"/>
            <w:gridSpan w:val="5"/>
            <w:tcBorders>
              <w:bottom w:val="single" w:sz="4" w:space="0" w:color="000000"/>
            </w:tcBorders>
            <w:shd w:val="clear" w:color="auto" w:fill="auto"/>
            <w:vAlign w:val="center"/>
          </w:tcPr>
          <w:p w14:paraId="00000572" w14:textId="77777777" w:rsidR="009F1887" w:rsidRDefault="009F1887"/>
        </w:tc>
      </w:tr>
      <w:tr w:rsidR="009F1887" w14:paraId="5820D41D" w14:textId="77777777">
        <w:trPr>
          <w:trHeight w:val="278"/>
        </w:trPr>
        <w:tc>
          <w:tcPr>
            <w:tcW w:w="6138" w:type="dxa"/>
            <w:shd w:val="clear" w:color="auto" w:fill="F2F2F2"/>
            <w:vAlign w:val="center"/>
          </w:tcPr>
          <w:p w14:paraId="00000577" w14:textId="77777777" w:rsidR="009F1887" w:rsidRDefault="00790D5B">
            <w:r>
              <w:t xml:space="preserve">Number of workers grievances received in reporting period / number of open workers grievances at the moment /number of workers closed grievances at the moment </w:t>
            </w:r>
          </w:p>
        </w:tc>
        <w:tc>
          <w:tcPr>
            <w:tcW w:w="7830" w:type="dxa"/>
            <w:gridSpan w:val="5"/>
            <w:tcBorders>
              <w:bottom w:val="single" w:sz="4" w:space="0" w:color="000000"/>
            </w:tcBorders>
            <w:shd w:val="clear" w:color="auto" w:fill="auto"/>
            <w:vAlign w:val="center"/>
          </w:tcPr>
          <w:p w14:paraId="00000578" w14:textId="77777777" w:rsidR="009F1887" w:rsidRDefault="009F1887"/>
        </w:tc>
      </w:tr>
      <w:tr w:rsidR="009F1887" w14:paraId="7E764E1F" w14:textId="77777777">
        <w:trPr>
          <w:trHeight w:val="305"/>
        </w:trPr>
        <w:tc>
          <w:tcPr>
            <w:tcW w:w="6138" w:type="dxa"/>
            <w:shd w:val="clear" w:color="auto" w:fill="F2F2F2"/>
            <w:vAlign w:val="center"/>
          </w:tcPr>
          <w:p w14:paraId="0000057D" w14:textId="77777777" w:rsidR="009F1887" w:rsidRDefault="00790D5B">
            <w:r>
              <w:t xml:space="preserve">Number of community grievances received in reporting period/number of open community grievances at the moment/number of closed community grievances at the moment </w:t>
            </w:r>
          </w:p>
        </w:tc>
        <w:tc>
          <w:tcPr>
            <w:tcW w:w="4500" w:type="dxa"/>
            <w:gridSpan w:val="4"/>
            <w:tcBorders>
              <w:bottom w:val="single" w:sz="4" w:space="0" w:color="000000"/>
            </w:tcBorders>
            <w:shd w:val="clear" w:color="auto" w:fill="F2F2F2"/>
            <w:vAlign w:val="center"/>
          </w:tcPr>
          <w:p w14:paraId="0000057E" w14:textId="77777777" w:rsidR="009F1887" w:rsidRDefault="009F1887"/>
        </w:tc>
        <w:tc>
          <w:tcPr>
            <w:tcW w:w="3330" w:type="dxa"/>
            <w:shd w:val="clear" w:color="auto" w:fill="F2F2F2"/>
            <w:vAlign w:val="center"/>
          </w:tcPr>
          <w:p w14:paraId="00000582" w14:textId="77777777" w:rsidR="009F1887" w:rsidRDefault="009F1887"/>
        </w:tc>
      </w:tr>
      <w:tr w:rsidR="009F1887" w14:paraId="1BA0098E" w14:textId="77777777">
        <w:trPr>
          <w:trHeight w:val="305"/>
        </w:trPr>
        <w:tc>
          <w:tcPr>
            <w:tcW w:w="6138" w:type="dxa"/>
            <w:vMerge w:val="restart"/>
            <w:shd w:val="clear" w:color="auto" w:fill="F2F2F2"/>
            <w:vAlign w:val="center"/>
          </w:tcPr>
          <w:p w14:paraId="00000583" w14:textId="77777777" w:rsidR="009F1887" w:rsidRDefault="00790D5B">
            <w:r>
              <w:t>Documents and activities to be examined</w:t>
            </w:r>
          </w:p>
        </w:tc>
        <w:tc>
          <w:tcPr>
            <w:tcW w:w="4500" w:type="dxa"/>
            <w:gridSpan w:val="4"/>
            <w:tcBorders>
              <w:bottom w:val="single" w:sz="4" w:space="0" w:color="000000"/>
            </w:tcBorders>
            <w:shd w:val="clear" w:color="auto" w:fill="F2F2F2"/>
            <w:vAlign w:val="center"/>
          </w:tcPr>
          <w:p w14:paraId="00000584" w14:textId="77777777" w:rsidR="009F1887" w:rsidRDefault="00790D5B">
            <w:r>
              <w:t>Status</w:t>
            </w:r>
          </w:p>
        </w:tc>
        <w:tc>
          <w:tcPr>
            <w:tcW w:w="3330" w:type="dxa"/>
            <w:vMerge w:val="restart"/>
            <w:shd w:val="clear" w:color="auto" w:fill="F2F2F2"/>
            <w:vAlign w:val="center"/>
          </w:tcPr>
          <w:p w14:paraId="00000588" w14:textId="77777777" w:rsidR="009F1887" w:rsidRDefault="00790D5B">
            <w:r>
              <w:t>Comments</w:t>
            </w:r>
          </w:p>
        </w:tc>
      </w:tr>
      <w:tr w:rsidR="009F1887" w14:paraId="659B3DA9" w14:textId="77777777">
        <w:trPr>
          <w:trHeight w:val="350"/>
        </w:trPr>
        <w:tc>
          <w:tcPr>
            <w:tcW w:w="6138" w:type="dxa"/>
            <w:vMerge/>
            <w:shd w:val="clear" w:color="auto" w:fill="F2F2F2"/>
            <w:vAlign w:val="center"/>
          </w:tcPr>
          <w:p w14:paraId="00000589" w14:textId="77777777" w:rsidR="009F1887" w:rsidRDefault="009F1887">
            <w:pPr>
              <w:widowControl w:val="0"/>
              <w:pBdr>
                <w:top w:val="nil"/>
                <w:left w:val="nil"/>
                <w:bottom w:val="nil"/>
                <w:right w:val="nil"/>
                <w:between w:val="nil"/>
              </w:pBdr>
              <w:spacing w:after="0"/>
            </w:pPr>
          </w:p>
        </w:tc>
        <w:tc>
          <w:tcPr>
            <w:tcW w:w="1170" w:type="dxa"/>
            <w:shd w:val="clear" w:color="auto" w:fill="F2F2F2"/>
            <w:vAlign w:val="center"/>
          </w:tcPr>
          <w:p w14:paraId="0000058A" w14:textId="77777777" w:rsidR="009F1887" w:rsidRDefault="00790D5B">
            <w:r>
              <w:t>Yes</w:t>
            </w:r>
          </w:p>
        </w:tc>
        <w:tc>
          <w:tcPr>
            <w:tcW w:w="1165" w:type="dxa"/>
            <w:shd w:val="clear" w:color="auto" w:fill="F2F2F2"/>
            <w:vAlign w:val="center"/>
          </w:tcPr>
          <w:p w14:paraId="0000058B" w14:textId="77777777" w:rsidR="009F1887" w:rsidRDefault="00790D5B">
            <w:r>
              <w:t>Partially</w:t>
            </w:r>
          </w:p>
        </w:tc>
        <w:tc>
          <w:tcPr>
            <w:tcW w:w="1085" w:type="dxa"/>
            <w:shd w:val="clear" w:color="auto" w:fill="F2F2F2"/>
            <w:vAlign w:val="center"/>
          </w:tcPr>
          <w:p w14:paraId="0000058C" w14:textId="77777777" w:rsidR="009F1887" w:rsidRDefault="00790D5B">
            <w:r>
              <w:t>No</w:t>
            </w:r>
          </w:p>
        </w:tc>
        <w:tc>
          <w:tcPr>
            <w:tcW w:w="1080" w:type="dxa"/>
            <w:shd w:val="clear" w:color="auto" w:fill="F2F2F2"/>
            <w:vAlign w:val="center"/>
          </w:tcPr>
          <w:p w14:paraId="0000058D" w14:textId="77777777" w:rsidR="009F1887" w:rsidRDefault="00790D5B">
            <w:r>
              <w:t>N/A</w:t>
            </w:r>
          </w:p>
        </w:tc>
        <w:tc>
          <w:tcPr>
            <w:tcW w:w="3330" w:type="dxa"/>
            <w:vMerge/>
            <w:shd w:val="clear" w:color="auto" w:fill="F2F2F2"/>
            <w:vAlign w:val="center"/>
          </w:tcPr>
          <w:p w14:paraId="0000058E" w14:textId="77777777" w:rsidR="009F1887" w:rsidRDefault="009F1887">
            <w:pPr>
              <w:widowControl w:val="0"/>
              <w:pBdr>
                <w:top w:val="nil"/>
                <w:left w:val="nil"/>
                <w:bottom w:val="nil"/>
                <w:right w:val="nil"/>
                <w:between w:val="nil"/>
              </w:pBdr>
              <w:spacing w:after="0"/>
            </w:pPr>
          </w:p>
        </w:tc>
      </w:tr>
      <w:tr w:rsidR="009F1887" w14:paraId="0F997BA0" w14:textId="77777777">
        <w:trPr>
          <w:trHeight w:val="350"/>
        </w:trPr>
        <w:tc>
          <w:tcPr>
            <w:tcW w:w="6138" w:type="dxa"/>
            <w:shd w:val="clear" w:color="auto" w:fill="auto"/>
            <w:vAlign w:val="center"/>
          </w:tcPr>
          <w:p w14:paraId="0000058F" w14:textId="77777777" w:rsidR="009F1887" w:rsidRDefault="00790D5B">
            <w:r>
              <w:t>Contractor holds license for extraction of natural construction materials</w:t>
            </w:r>
          </w:p>
        </w:tc>
        <w:tc>
          <w:tcPr>
            <w:tcW w:w="1170" w:type="dxa"/>
            <w:shd w:val="clear" w:color="auto" w:fill="auto"/>
            <w:vAlign w:val="center"/>
          </w:tcPr>
          <w:p w14:paraId="00000590" w14:textId="77777777" w:rsidR="009F1887" w:rsidRDefault="009F1887"/>
        </w:tc>
        <w:tc>
          <w:tcPr>
            <w:tcW w:w="1165" w:type="dxa"/>
            <w:shd w:val="clear" w:color="auto" w:fill="auto"/>
            <w:vAlign w:val="center"/>
          </w:tcPr>
          <w:p w14:paraId="00000591" w14:textId="77777777" w:rsidR="009F1887" w:rsidRDefault="009F1887"/>
        </w:tc>
        <w:tc>
          <w:tcPr>
            <w:tcW w:w="1085" w:type="dxa"/>
            <w:shd w:val="clear" w:color="auto" w:fill="auto"/>
            <w:vAlign w:val="center"/>
          </w:tcPr>
          <w:p w14:paraId="00000592" w14:textId="77777777" w:rsidR="009F1887" w:rsidRDefault="009F1887"/>
        </w:tc>
        <w:tc>
          <w:tcPr>
            <w:tcW w:w="1080" w:type="dxa"/>
            <w:shd w:val="clear" w:color="auto" w:fill="auto"/>
            <w:vAlign w:val="center"/>
          </w:tcPr>
          <w:p w14:paraId="00000593" w14:textId="77777777" w:rsidR="009F1887" w:rsidRDefault="009F1887"/>
        </w:tc>
        <w:tc>
          <w:tcPr>
            <w:tcW w:w="3330" w:type="dxa"/>
            <w:shd w:val="clear" w:color="auto" w:fill="auto"/>
            <w:vAlign w:val="center"/>
          </w:tcPr>
          <w:p w14:paraId="00000594" w14:textId="77777777" w:rsidR="009F1887" w:rsidRDefault="009F1887"/>
        </w:tc>
      </w:tr>
      <w:tr w:rsidR="009F1887" w14:paraId="0E286CF0" w14:textId="77777777">
        <w:trPr>
          <w:trHeight w:val="350"/>
        </w:trPr>
        <w:tc>
          <w:tcPr>
            <w:tcW w:w="6138" w:type="dxa"/>
            <w:shd w:val="clear" w:color="auto" w:fill="auto"/>
            <w:vAlign w:val="center"/>
          </w:tcPr>
          <w:p w14:paraId="00000595" w14:textId="77777777" w:rsidR="009F1887" w:rsidRDefault="00790D5B">
            <w:r>
              <w:t>Contractor holds permit for operating concrete/asphalt plant</w:t>
            </w:r>
          </w:p>
        </w:tc>
        <w:tc>
          <w:tcPr>
            <w:tcW w:w="1170" w:type="dxa"/>
            <w:shd w:val="clear" w:color="auto" w:fill="auto"/>
            <w:vAlign w:val="center"/>
          </w:tcPr>
          <w:p w14:paraId="00000596" w14:textId="77777777" w:rsidR="009F1887" w:rsidRDefault="009F1887"/>
        </w:tc>
        <w:tc>
          <w:tcPr>
            <w:tcW w:w="1165" w:type="dxa"/>
            <w:shd w:val="clear" w:color="auto" w:fill="auto"/>
            <w:vAlign w:val="center"/>
          </w:tcPr>
          <w:p w14:paraId="00000597" w14:textId="77777777" w:rsidR="009F1887" w:rsidRDefault="009F1887"/>
        </w:tc>
        <w:tc>
          <w:tcPr>
            <w:tcW w:w="1085" w:type="dxa"/>
            <w:shd w:val="clear" w:color="auto" w:fill="auto"/>
            <w:vAlign w:val="center"/>
          </w:tcPr>
          <w:p w14:paraId="00000598" w14:textId="77777777" w:rsidR="009F1887" w:rsidRDefault="009F1887"/>
        </w:tc>
        <w:tc>
          <w:tcPr>
            <w:tcW w:w="1080" w:type="dxa"/>
            <w:shd w:val="clear" w:color="auto" w:fill="auto"/>
            <w:vAlign w:val="center"/>
          </w:tcPr>
          <w:p w14:paraId="00000599" w14:textId="77777777" w:rsidR="009F1887" w:rsidRDefault="009F1887"/>
        </w:tc>
        <w:tc>
          <w:tcPr>
            <w:tcW w:w="3330" w:type="dxa"/>
            <w:shd w:val="clear" w:color="auto" w:fill="auto"/>
            <w:vAlign w:val="center"/>
          </w:tcPr>
          <w:p w14:paraId="0000059A" w14:textId="77777777" w:rsidR="009F1887" w:rsidRDefault="009F1887"/>
        </w:tc>
      </w:tr>
      <w:tr w:rsidR="009F1887" w14:paraId="3FE7F56D" w14:textId="77777777">
        <w:trPr>
          <w:trHeight w:val="350"/>
        </w:trPr>
        <w:tc>
          <w:tcPr>
            <w:tcW w:w="6138" w:type="dxa"/>
            <w:shd w:val="clear" w:color="auto" w:fill="auto"/>
            <w:vAlign w:val="center"/>
          </w:tcPr>
          <w:p w14:paraId="0000059B" w14:textId="77777777" w:rsidR="009F1887" w:rsidRDefault="00790D5B">
            <w:r>
              <w:t>Contractor holds agreement for final disposal of construction waste</w:t>
            </w:r>
          </w:p>
        </w:tc>
        <w:tc>
          <w:tcPr>
            <w:tcW w:w="1170" w:type="dxa"/>
            <w:shd w:val="clear" w:color="auto" w:fill="auto"/>
            <w:vAlign w:val="center"/>
          </w:tcPr>
          <w:p w14:paraId="0000059C" w14:textId="77777777" w:rsidR="009F1887" w:rsidRDefault="009F1887"/>
        </w:tc>
        <w:tc>
          <w:tcPr>
            <w:tcW w:w="1165" w:type="dxa"/>
            <w:shd w:val="clear" w:color="auto" w:fill="auto"/>
            <w:vAlign w:val="center"/>
          </w:tcPr>
          <w:p w14:paraId="0000059D" w14:textId="77777777" w:rsidR="009F1887" w:rsidRDefault="009F1887"/>
        </w:tc>
        <w:tc>
          <w:tcPr>
            <w:tcW w:w="1085" w:type="dxa"/>
            <w:shd w:val="clear" w:color="auto" w:fill="auto"/>
            <w:vAlign w:val="center"/>
          </w:tcPr>
          <w:p w14:paraId="0000059E" w14:textId="77777777" w:rsidR="009F1887" w:rsidRDefault="009F1887"/>
        </w:tc>
        <w:tc>
          <w:tcPr>
            <w:tcW w:w="1080" w:type="dxa"/>
            <w:shd w:val="clear" w:color="auto" w:fill="auto"/>
            <w:vAlign w:val="center"/>
          </w:tcPr>
          <w:p w14:paraId="0000059F" w14:textId="77777777" w:rsidR="009F1887" w:rsidRDefault="009F1887"/>
        </w:tc>
        <w:tc>
          <w:tcPr>
            <w:tcW w:w="3330" w:type="dxa"/>
            <w:shd w:val="clear" w:color="auto" w:fill="auto"/>
            <w:vAlign w:val="center"/>
          </w:tcPr>
          <w:p w14:paraId="000005A0" w14:textId="77777777" w:rsidR="009F1887" w:rsidRDefault="009F1887"/>
        </w:tc>
      </w:tr>
      <w:tr w:rsidR="009F1887" w14:paraId="40BF1FF4" w14:textId="77777777">
        <w:tc>
          <w:tcPr>
            <w:tcW w:w="6138" w:type="dxa"/>
            <w:shd w:val="clear" w:color="auto" w:fill="auto"/>
            <w:vAlign w:val="center"/>
          </w:tcPr>
          <w:p w14:paraId="000005A1" w14:textId="77777777" w:rsidR="009F1887" w:rsidRDefault="00790D5B">
            <w:r>
              <w:t>Contractor holds agreement with service provider for removal of household waste from site</w:t>
            </w:r>
          </w:p>
        </w:tc>
        <w:tc>
          <w:tcPr>
            <w:tcW w:w="1170" w:type="dxa"/>
            <w:shd w:val="clear" w:color="auto" w:fill="auto"/>
            <w:vAlign w:val="center"/>
          </w:tcPr>
          <w:p w14:paraId="000005A2" w14:textId="77777777" w:rsidR="009F1887" w:rsidRDefault="009F1887"/>
        </w:tc>
        <w:tc>
          <w:tcPr>
            <w:tcW w:w="1165" w:type="dxa"/>
            <w:shd w:val="clear" w:color="auto" w:fill="auto"/>
            <w:vAlign w:val="center"/>
          </w:tcPr>
          <w:p w14:paraId="000005A3" w14:textId="77777777" w:rsidR="009F1887" w:rsidRDefault="009F1887"/>
        </w:tc>
        <w:tc>
          <w:tcPr>
            <w:tcW w:w="1085" w:type="dxa"/>
            <w:shd w:val="clear" w:color="auto" w:fill="auto"/>
            <w:vAlign w:val="center"/>
          </w:tcPr>
          <w:p w14:paraId="000005A4" w14:textId="77777777" w:rsidR="009F1887" w:rsidRDefault="009F1887"/>
        </w:tc>
        <w:tc>
          <w:tcPr>
            <w:tcW w:w="1080" w:type="dxa"/>
            <w:shd w:val="clear" w:color="auto" w:fill="auto"/>
            <w:vAlign w:val="center"/>
          </w:tcPr>
          <w:p w14:paraId="000005A5" w14:textId="77777777" w:rsidR="009F1887" w:rsidRDefault="009F1887"/>
        </w:tc>
        <w:tc>
          <w:tcPr>
            <w:tcW w:w="3330" w:type="dxa"/>
            <w:shd w:val="clear" w:color="auto" w:fill="auto"/>
            <w:vAlign w:val="center"/>
          </w:tcPr>
          <w:p w14:paraId="000005A6" w14:textId="77777777" w:rsidR="009F1887" w:rsidRDefault="009F1887"/>
        </w:tc>
      </w:tr>
      <w:tr w:rsidR="009F1887" w14:paraId="7F39A6CF" w14:textId="77777777">
        <w:trPr>
          <w:trHeight w:val="332"/>
        </w:trPr>
        <w:tc>
          <w:tcPr>
            <w:tcW w:w="6138" w:type="dxa"/>
            <w:shd w:val="clear" w:color="auto" w:fill="auto"/>
            <w:vAlign w:val="center"/>
          </w:tcPr>
          <w:p w14:paraId="000005A7" w14:textId="77777777" w:rsidR="009F1887" w:rsidRDefault="00790D5B">
            <w:r>
              <w:t>Work site is fenced, and adequate warning signs installed</w:t>
            </w:r>
          </w:p>
        </w:tc>
        <w:tc>
          <w:tcPr>
            <w:tcW w:w="1170" w:type="dxa"/>
            <w:shd w:val="clear" w:color="auto" w:fill="auto"/>
            <w:vAlign w:val="center"/>
          </w:tcPr>
          <w:p w14:paraId="000005A8" w14:textId="77777777" w:rsidR="009F1887" w:rsidRDefault="009F1887"/>
        </w:tc>
        <w:tc>
          <w:tcPr>
            <w:tcW w:w="1165" w:type="dxa"/>
            <w:shd w:val="clear" w:color="auto" w:fill="auto"/>
            <w:vAlign w:val="center"/>
          </w:tcPr>
          <w:p w14:paraId="000005A9" w14:textId="77777777" w:rsidR="009F1887" w:rsidRDefault="009F1887"/>
        </w:tc>
        <w:tc>
          <w:tcPr>
            <w:tcW w:w="1085" w:type="dxa"/>
            <w:shd w:val="clear" w:color="auto" w:fill="auto"/>
            <w:vAlign w:val="center"/>
          </w:tcPr>
          <w:p w14:paraId="000005AA" w14:textId="77777777" w:rsidR="009F1887" w:rsidRDefault="009F1887"/>
        </w:tc>
        <w:tc>
          <w:tcPr>
            <w:tcW w:w="1080" w:type="dxa"/>
            <w:shd w:val="clear" w:color="auto" w:fill="auto"/>
            <w:vAlign w:val="center"/>
          </w:tcPr>
          <w:p w14:paraId="000005AB" w14:textId="77777777" w:rsidR="009F1887" w:rsidRDefault="009F1887"/>
        </w:tc>
        <w:tc>
          <w:tcPr>
            <w:tcW w:w="3330" w:type="dxa"/>
            <w:shd w:val="clear" w:color="auto" w:fill="auto"/>
            <w:vAlign w:val="center"/>
          </w:tcPr>
          <w:p w14:paraId="000005AC" w14:textId="77777777" w:rsidR="009F1887" w:rsidRDefault="009F1887"/>
        </w:tc>
      </w:tr>
      <w:tr w:rsidR="009F1887" w14:paraId="61C144DD" w14:textId="77777777">
        <w:tc>
          <w:tcPr>
            <w:tcW w:w="6138" w:type="dxa"/>
            <w:shd w:val="clear" w:color="auto" w:fill="auto"/>
            <w:vAlign w:val="center"/>
          </w:tcPr>
          <w:p w14:paraId="000005AD" w14:textId="77777777" w:rsidR="009F1887" w:rsidRDefault="00790D5B">
            <w:r>
              <w:t>Works do not impede pedestrian access and motor traffic, or temporary alternative access is provided</w:t>
            </w:r>
          </w:p>
        </w:tc>
        <w:tc>
          <w:tcPr>
            <w:tcW w:w="1170" w:type="dxa"/>
            <w:shd w:val="clear" w:color="auto" w:fill="auto"/>
            <w:vAlign w:val="center"/>
          </w:tcPr>
          <w:p w14:paraId="000005AE" w14:textId="77777777" w:rsidR="009F1887" w:rsidRDefault="009F1887"/>
        </w:tc>
        <w:tc>
          <w:tcPr>
            <w:tcW w:w="1165" w:type="dxa"/>
            <w:shd w:val="clear" w:color="auto" w:fill="auto"/>
            <w:vAlign w:val="center"/>
          </w:tcPr>
          <w:p w14:paraId="000005AF" w14:textId="77777777" w:rsidR="009F1887" w:rsidRDefault="009F1887"/>
        </w:tc>
        <w:tc>
          <w:tcPr>
            <w:tcW w:w="1085" w:type="dxa"/>
            <w:shd w:val="clear" w:color="auto" w:fill="auto"/>
            <w:vAlign w:val="center"/>
          </w:tcPr>
          <w:p w14:paraId="000005B0" w14:textId="77777777" w:rsidR="009F1887" w:rsidRDefault="009F1887"/>
        </w:tc>
        <w:tc>
          <w:tcPr>
            <w:tcW w:w="1080" w:type="dxa"/>
            <w:shd w:val="clear" w:color="auto" w:fill="auto"/>
            <w:vAlign w:val="center"/>
          </w:tcPr>
          <w:p w14:paraId="000005B1" w14:textId="77777777" w:rsidR="009F1887" w:rsidRDefault="009F1887"/>
        </w:tc>
        <w:tc>
          <w:tcPr>
            <w:tcW w:w="3330" w:type="dxa"/>
            <w:shd w:val="clear" w:color="auto" w:fill="auto"/>
            <w:vAlign w:val="center"/>
          </w:tcPr>
          <w:p w14:paraId="000005B2" w14:textId="77777777" w:rsidR="009F1887" w:rsidRDefault="009F1887"/>
        </w:tc>
      </w:tr>
      <w:tr w:rsidR="009F1887" w14:paraId="4E7BC141" w14:textId="77777777">
        <w:trPr>
          <w:trHeight w:val="413"/>
        </w:trPr>
        <w:tc>
          <w:tcPr>
            <w:tcW w:w="6138" w:type="dxa"/>
            <w:shd w:val="clear" w:color="auto" w:fill="auto"/>
            <w:vAlign w:val="center"/>
          </w:tcPr>
          <w:p w14:paraId="000005B3" w14:textId="77777777" w:rsidR="009F1887" w:rsidRDefault="00790D5B">
            <w:r>
              <w:t xml:space="preserve">Working hours are observed </w:t>
            </w:r>
          </w:p>
        </w:tc>
        <w:tc>
          <w:tcPr>
            <w:tcW w:w="1170" w:type="dxa"/>
            <w:shd w:val="clear" w:color="auto" w:fill="auto"/>
            <w:vAlign w:val="center"/>
          </w:tcPr>
          <w:p w14:paraId="000005B4" w14:textId="77777777" w:rsidR="009F1887" w:rsidRDefault="009F1887"/>
        </w:tc>
        <w:tc>
          <w:tcPr>
            <w:tcW w:w="1165" w:type="dxa"/>
            <w:shd w:val="clear" w:color="auto" w:fill="auto"/>
            <w:vAlign w:val="center"/>
          </w:tcPr>
          <w:p w14:paraId="000005B5" w14:textId="77777777" w:rsidR="009F1887" w:rsidRDefault="009F1887"/>
        </w:tc>
        <w:tc>
          <w:tcPr>
            <w:tcW w:w="1085" w:type="dxa"/>
            <w:shd w:val="clear" w:color="auto" w:fill="auto"/>
            <w:vAlign w:val="center"/>
          </w:tcPr>
          <w:p w14:paraId="000005B6" w14:textId="77777777" w:rsidR="009F1887" w:rsidRDefault="009F1887"/>
        </w:tc>
        <w:tc>
          <w:tcPr>
            <w:tcW w:w="1080" w:type="dxa"/>
            <w:shd w:val="clear" w:color="auto" w:fill="auto"/>
            <w:vAlign w:val="center"/>
          </w:tcPr>
          <w:p w14:paraId="000005B7" w14:textId="77777777" w:rsidR="009F1887" w:rsidRDefault="009F1887"/>
        </w:tc>
        <w:tc>
          <w:tcPr>
            <w:tcW w:w="3330" w:type="dxa"/>
            <w:shd w:val="clear" w:color="auto" w:fill="auto"/>
            <w:vAlign w:val="center"/>
          </w:tcPr>
          <w:p w14:paraId="000005B8" w14:textId="77777777" w:rsidR="009F1887" w:rsidRDefault="009F1887"/>
        </w:tc>
      </w:tr>
      <w:tr w:rsidR="009F1887" w14:paraId="7CB1B4D3" w14:textId="77777777">
        <w:trPr>
          <w:trHeight w:val="413"/>
        </w:trPr>
        <w:tc>
          <w:tcPr>
            <w:tcW w:w="6138" w:type="dxa"/>
            <w:shd w:val="clear" w:color="auto" w:fill="auto"/>
            <w:vAlign w:val="center"/>
          </w:tcPr>
          <w:p w14:paraId="000005B9" w14:textId="77777777" w:rsidR="009F1887" w:rsidRDefault="00790D5B">
            <w:r>
              <w:t>Works to not disrupt or cause nuisance to operation of the healthcare facility within which they are undertaken</w:t>
            </w:r>
          </w:p>
        </w:tc>
        <w:tc>
          <w:tcPr>
            <w:tcW w:w="1170" w:type="dxa"/>
            <w:shd w:val="clear" w:color="auto" w:fill="auto"/>
            <w:vAlign w:val="center"/>
          </w:tcPr>
          <w:p w14:paraId="000005BA" w14:textId="77777777" w:rsidR="009F1887" w:rsidRDefault="009F1887"/>
        </w:tc>
        <w:tc>
          <w:tcPr>
            <w:tcW w:w="1165" w:type="dxa"/>
            <w:shd w:val="clear" w:color="auto" w:fill="auto"/>
            <w:vAlign w:val="center"/>
          </w:tcPr>
          <w:p w14:paraId="000005BB" w14:textId="77777777" w:rsidR="009F1887" w:rsidRDefault="009F1887"/>
        </w:tc>
        <w:tc>
          <w:tcPr>
            <w:tcW w:w="1085" w:type="dxa"/>
            <w:shd w:val="clear" w:color="auto" w:fill="auto"/>
            <w:vAlign w:val="center"/>
          </w:tcPr>
          <w:p w14:paraId="000005BC" w14:textId="77777777" w:rsidR="009F1887" w:rsidRDefault="009F1887"/>
        </w:tc>
        <w:tc>
          <w:tcPr>
            <w:tcW w:w="1080" w:type="dxa"/>
            <w:shd w:val="clear" w:color="auto" w:fill="auto"/>
            <w:vAlign w:val="center"/>
          </w:tcPr>
          <w:p w14:paraId="000005BD" w14:textId="77777777" w:rsidR="009F1887" w:rsidRDefault="009F1887"/>
        </w:tc>
        <w:tc>
          <w:tcPr>
            <w:tcW w:w="3330" w:type="dxa"/>
            <w:shd w:val="clear" w:color="auto" w:fill="auto"/>
            <w:vAlign w:val="center"/>
          </w:tcPr>
          <w:p w14:paraId="000005BE" w14:textId="77777777" w:rsidR="009F1887" w:rsidRDefault="009F1887"/>
        </w:tc>
      </w:tr>
      <w:tr w:rsidR="009F1887" w14:paraId="4872F72A" w14:textId="77777777">
        <w:tc>
          <w:tcPr>
            <w:tcW w:w="6138" w:type="dxa"/>
            <w:shd w:val="clear" w:color="auto" w:fill="auto"/>
            <w:vAlign w:val="center"/>
          </w:tcPr>
          <w:p w14:paraId="000005BF" w14:textId="77777777" w:rsidR="009F1887" w:rsidRDefault="00790D5B">
            <w:r>
              <w:lastRenderedPageBreak/>
              <w:t xml:space="preserve">Construction machinery and equipment is in standard technical condition (no excessive exhaust and noise, no leakage of fuels and lubricants) </w:t>
            </w:r>
          </w:p>
        </w:tc>
        <w:tc>
          <w:tcPr>
            <w:tcW w:w="1170" w:type="dxa"/>
            <w:shd w:val="clear" w:color="auto" w:fill="auto"/>
            <w:vAlign w:val="center"/>
          </w:tcPr>
          <w:p w14:paraId="000005C0" w14:textId="77777777" w:rsidR="009F1887" w:rsidRDefault="009F1887"/>
        </w:tc>
        <w:tc>
          <w:tcPr>
            <w:tcW w:w="1165" w:type="dxa"/>
            <w:shd w:val="clear" w:color="auto" w:fill="auto"/>
            <w:vAlign w:val="center"/>
          </w:tcPr>
          <w:p w14:paraId="000005C1" w14:textId="77777777" w:rsidR="009F1887" w:rsidRDefault="009F1887"/>
        </w:tc>
        <w:tc>
          <w:tcPr>
            <w:tcW w:w="1085" w:type="dxa"/>
            <w:shd w:val="clear" w:color="auto" w:fill="auto"/>
            <w:vAlign w:val="center"/>
          </w:tcPr>
          <w:p w14:paraId="000005C2" w14:textId="77777777" w:rsidR="009F1887" w:rsidRDefault="009F1887"/>
        </w:tc>
        <w:tc>
          <w:tcPr>
            <w:tcW w:w="1080" w:type="dxa"/>
            <w:shd w:val="clear" w:color="auto" w:fill="auto"/>
            <w:vAlign w:val="center"/>
          </w:tcPr>
          <w:p w14:paraId="000005C3" w14:textId="77777777" w:rsidR="009F1887" w:rsidRDefault="009F1887"/>
        </w:tc>
        <w:tc>
          <w:tcPr>
            <w:tcW w:w="3330" w:type="dxa"/>
            <w:shd w:val="clear" w:color="auto" w:fill="auto"/>
            <w:vAlign w:val="center"/>
          </w:tcPr>
          <w:p w14:paraId="000005C4" w14:textId="77777777" w:rsidR="009F1887" w:rsidRDefault="009F1887"/>
        </w:tc>
      </w:tr>
      <w:tr w:rsidR="009F1887" w14:paraId="7D80F17A" w14:textId="77777777">
        <w:tc>
          <w:tcPr>
            <w:tcW w:w="6138" w:type="dxa"/>
            <w:shd w:val="clear" w:color="auto" w:fill="auto"/>
            <w:vAlign w:val="center"/>
          </w:tcPr>
          <w:p w14:paraId="000005C5" w14:textId="77777777" w:rsidR="009F1887" w:rsidRDefault="00790D5B">
            <w:r>
              <w:t>Construction materials and waste are transported under the covered hood</w:t>
            </w:r>
          </w:p>
        </w:tc>
        <w:tc>
          <w:tcPr>
            <w:tcW w:w="1170" w:type="dxa"/>
            <w:shd w:val="clear" w:color="auto" w:fill="auto"/>
            <w:vAlign w:val="center"/>
          </w:tcPr>
          <w:p w14:paraId="000005C6" w14:textId="77777777" w:rsidR="009F1887" w:rsidRDefault="009F1887"/>
        </w:tc>
        <w:tc>
          <w:tcPr>
            <w:tcW w:w="1165" w:type="dxa"/>
            <w:shd w:val="clear" w:color="auto" w:fill="auto"/>
            <w:vAlign w:val="center"/>
          </w:tcPr>
          <w:p w14:paraId="000005C7" w14:textId="77777777" w:rsidR="009F1887" w:rsidRDefault="009F1887"/>
        </w:tc>
        <w:tc>
          <w:tcPr>
            <w:tcW w:w="1085" w:type="dxa"/>
            <w:shd w:val="clear" w:color="auto" w:fill="auto"/>
            <w:vAlign w:val="center"/>
          </w:tcPr>
          <w:p w14:paraId="000005C8" w14:textId="77777777" w:rsidR="009F1887" w:rsidRDefault="009F1887"/>
        </w:tc>
        <w:tc>
          <w:tcPr>
            <w:tcW w:w="1080" w:type="dxa"/>
            <w:shd w:val="clear" w:color="auto" w:fill="auto"/>
            <w:vAlign w:val="center"/>
          </w:tcPr>
          <w:p w14:paraId="000005C9" w14:textId="77777777" w:rsidR="009F1887" w:rsidRDefault="009F1887"/>
        </w:tc>
        <w:tc>
          <w:tcPr>
            <w:tcW w:w="3330" w:type="dxa"/>
            <w:shd w:val="clear" w:color="auto" w:fill="auto"/>
            <w:vAlign w:val="center"/>
          </w:tcPr>
          <w:p w14:paraId="000005CA" w14:textId="77777777" w:rsidR="009F1887" w:rsidRDefault="009F1887"/>
        </w:tc>
      </w:tr>
      <w:tr w:rsidR="009F1887" w14:paraId="56BCD2C0" w14:textId="77777777">
        <w:tc>
          <w:tcPr>
            <w:tcW w:w="6138" w:type="dxa"/>
            <w:shd w:val="clear" w:color="auto" w:fill="auto"/>
            <w:vAlign w:val="center"/>
          </w:tcPr>
          <w:p w14:paraId="000005CB" w14:textId="77777777" w:rsidR="009F1887" w:rsidRDefault="00790D5B">
            <w:r>
              <w:t>Adequate dust control measures are applied</w:t>
            </w:r>
          </w:p>
        </w:tc>
        <w:tc>
          <w:tcPr>
            <w:tcW w:w="1170" w:type="dxa"/>
            <w:shd w:val="clear" w:color="auto" w:fill="auto"/>
            <w:vAlign w:val="center"/>
          </w:tcPr>
          <w:p w14:paraId="000005CC" w14:textId="77777777" w:rsidR="009F1887" w:rsidRDefault="009F1887"/>
        </w:tc>
        <w:tc>
          <w:tcPr>
            <w:tcW w:w="1165" w:type="dxa"/>
            <w:shd w:val="clear" w:color="auto" w:fill="auto"/>
            <w:vAlign w:val="center"/>
          </w:tcPr>
          <w:p w14:paraId="000005CD" w14:textId="77777777" w:rsidR="009F1887" w:rsidRDefault="009F1887"/>
        </w:tc>
        <w:tc>
          <w:tcPr>
            <w:tcW w:w="1085" w:type="dxa"/>
            <w:shd w:val="clear" w:color="auto" w:fill="auto"/>
            <w:vAlign w:val="center"/>
          </w:tcPr>
          <w:p w14:paraId="000005CE" w14:textId="77777777" w:rsidR="009F1887" w:rsidRDefault="009F1887"/>
        </w:tc>
        <w:tc>
          <w:tcPr>
            <w:tcW w:w="1080" w:type="dxa"/>
            <w:shd w:val="clear" w:color="auto" w:fill="auto"/>
            <w:vAlign w:val="center"/>
          </w:tcPr>
          <w:p w14:paraId="000005CF" w14:textId="77777777" w:rsidR="009F1887" w:rsidRDefault="009F1887"/>
        </w:tc>
        <w:tc>
          <w:tcPr>
            <w:tcW w:w="3330" w:type="dxa"/>
            <w:shd w:val="clear" w:color="auto" w:fill="auto"/>
            <w:vAlign w:val="center"/>
          </w:tcPr>
          <w:p w14:paraId="000005D0" w14:textId="77777777" w:rsidR="009F1887" w:rsidRDefault="009F1887"/>
        </w:tc>
      </w:tr>
      <w:tr w:rsidR="009F1887" w14:paraId="24EDEC4A" w14:textId="77777777">
        <w:tc>
          <w:tcPr>
            <w:tcW w:w="6138" w:type="dxa"/>
            <w:shd w:val="clear" w:color="auto" w:fill="auto"/>
            <w:vAlign w:val="center"/>
          </w:tcPr>
          <w:p w14:paraId="000005D1" w14:textId="77777777" w:rsidR="009F1887" w:rsidRDefault="00790D5B">
            <w:r>
              <w:t xml:space="preserve">Contractor’s camp or work base is fenced; sites for temporary storage of waste and for vehicle/equipment servicing are designated </w:t>
            </w:r>
          </w:p>
        </w:tc>
        <w:tc>
          <w:tcPr>
            <w:tcW w:w="1170" w:type="dxa"/>
            <w:shd w:val="clear" w:color="auto" w:fill="auto"/>
            <w:vAlign w:val="center"/>
          </w:tcPr>
          <w:p w14:paraId="000005D2" w14:textId="77777777" w:rsidR="009F1887" w:rsidRDefault="009F1887"/>
        </w:tc>
        <w:tc>
          <w:tcPr>
            <w:tcW w:w="1165" w:type="dxa"/>
            <w:shd w:val="clear" w:color="auto" w:fill="auto"/>
            <w:vAlign w:val="center"/>
          </w:tcPr>
          <w:p w14:paraId="000005D3" w14:textId="77777777" w:rsidR="009F1887" w:rsidRDefault="009F1887"/>
        </w:tc>
        <w:tc>
          <w:tcPr>
            <w:tcW w:w="1085" w:type="dxa"/>
            <w:shd w:val="clear" w:color="auto" w:fill="auto"/>
            <w:vAlign w:val="center"/>
          </w:tcPr>
          <w:p w14:paraId="000005D4" w14:textId="77777777" w:rsidR="009F1887" w:rsidRDefault="009F1887"/>
        </w:tc>
        <w:tc>
          <w:tcPr>
            <w:tcW w:w="1080" w:type="dxa"/>
            <w:shd w:val="clear" w:color="auto" w:fill="auto"/>
            <w:vAlign w:val="center"/>
          </w:tcPr>
          <w:p w14:paraId="000005D5" w14:textId="77777777" w:rsidR="009F1887" w:rsidRDefault="009F1887"/>
        </w:tc>
        <w:tc>
          <w:tcPr>
            <w:tcW w:w="3330" w:type="dxa"/>
            <w:shd w:val="clear" w:color="auto" w:fill="auto"/>
            <w:vAlign w:val="center"/>
          </w:tcPr>
          <w:p w14:paraId="000005D6" w14:textId="77777777" w:rsidR="009F1887" w:rsidRDefault="009F1887"/>
        </w:tc>
      </w:tr>
      <w:tr w:rsidR="009F1887" w14:paraId="568E92DF" w14:textId="77777777">
        <w:tc>
          <w:tcPr>
            <w:tcW w:w="6138" w:type="dxa"/>
            <w:shd w:val="clear" w:color="auto" w:fill="auto"/>
            <w:vAlign w:val="center"/>
          </w:tcPr>
          <w:p w14:paraId="000005D7" w14:textId="77777777" w:rsidR="009F1887" w:rsidRDefault="00790D5B">
            <w:r>
              <w:t>Contractor’s camp is supplied with water and sanitation is provided</w:t>
            </w:r>
          </w:p>
        </w:tc>
        <w:tc>
          <w:tcPr>
            <w:tcW w:w="1170" w:type="dxa"/>
            <w:shd w:val="clear" w:color="auto" w:fill="auto"/>
            <w:vAlign w:val="center"/>
          </w:tcPr>
          <w:p w14:paraId="000005D8" w14:textId="77777777" w:rsidR="009F1887" w:rsidRDefault="009F1887"/>
        </w:tc>
        <w:tc>
          <w:tcPr>
            <w:tcW w:w="1165" w:type="dxa"/>
            <w:shd w:val="clear" w:color="auto" w:fill="auto"/>
            <w:vAlign w:val="center"/>
          </w:tcPr>
          <w:p w14:paraId="000005D9" w14:textId="77777777" w:rsidR="009F1887" w:rsidRDefault="009F1887"/>
        </w:tc>
        <w:tc>
          <w:tcPr>
            <w:tcW w:w="1085" w:type="dxa"/>
            <w:shd w:val="clear" w:color="auto" w:fill="auto"/>
            <w:vAlign w:val="center"/>
          </w:tcPr>
          <w:p w14:paraId="000005DA" w14:textId="77777777" w:rsidR="009F1887" w:rsidRDefault="009F1887"/>
        </w:tc>
        <w:tc>
          <w:tcPr>
            <w:tcW w:w="1080" w:type="dxa"/>
            <w:shd w:val="clear" w:color="auto" w:fill="auto"/>
            <w:vAlign w:val="center"/>
          </w:tcPr>
          <w:p w14:paraId="000005DB" w14:textId="77777777" w:rsidR="009F1887" w:rsidRDefault="009F1887"/>
        </w:tc>
        <w:tc>
          <w:tcPr>
            <w:tcW w:w="3330" w:type="dxa"/>
            <w:shd w:val="clear" w:color="auto" w:fill="auto"/>
            <w:vAlign w:val="center"/>
          </w:tcPr>
          <w:p w14:paraId="000005DC" w14:textId="77777777" w:rsidR="009F1887" w:rsidRDefault="009F1887"/>
        </w:tc>
      </w:tr>
      <w:tr w:rsidR="009F1887" w14:paraId="36A5537F" w14:textId="77777777">
        <w:tc>
          <w:tcPr>
            <w:tcW w:w="6138" w:type="dxa"/>
            <w:shd w:val="clear" w:color="auto" w:fill="auto"/>
            <w:vAlign w:val="center"/>
          </w:tcPr>
          <w:p w14:paraId="000005DD" w14:textId="77777777" w:rsidR="009F1887" w:rsidRDefault="00790D5B">
            <w:r>
              <w:t>Contractor’s camp or work base is equipped with first medical aid and fire-fighting kits</w:t>
            </w:r>
          </w:p>
        </w:tc>
        <w:tc>
          <w:tcPr>
            <w:tcW w:w="1170" w:type="dxa"/>
            <w:shd w:val="clear" w:color="auto" w:fill="auto"/>
            <w:vAlign w:val="center"/>
          </w:tcPr>
          <w:p w14:paraId="000005DE" w14:textId="77777777" w:rsidR="009F1887" w:rsidRDefault="009F1887"/>
        </w:tc>
        <w:tc>
          <w:tcPr>
            <w:tcW w:w="1165" w:type="dxa"/>
            <w:shd w:val="clear" w:color="auto" w:fill="auto"/>
            <w:vAlign w:val="center"/>
          </w:tcPr>
          <w:p w14:paraId="000005DF" w14:textId="77777777" w:rsidR="009F1887" w:rsidRDefault="009F1887"/>
        </w:tc>
        <w:tc>
          <w:tcPr>
            <w:tcW w:w="1085" w:type="dxa"/>
            <w:shd w:val="clear" w:color="auto" w:fill="auto"/>
            <w:vAlign w:val="center"/>
          </w:tcPr>
          <w:p w14:paraId="000005E0" w14:textId="77777777" w:rsidR="009F1887" w:rsidRDefault="009F1887"/>
        </w:tc>
        <w:tc>
          <w:tcPr>
            <w:tcW w:w="1080" w:type="dxa"/>
            <w:shd w:val="clear" w:color="auto" w:fill="auto"/>
            <w:vAlign w:val="center"/>
          </w:tcPr>
          <w:p w14:paraId="000005E1" w14:textId="77777777" w:rsidR="009F1887" w:rsidRDefault="009F1887"/>
        </w:tc>
        <w:tc>
          <w:tcPr>
            <w:tcW w:w="3330" w:type="dxa"/>
            <w:shd w:val="clear" w:color="auto" w:fill="auto"/>
            <w:vAlign w:val="center"/>
          </w:tcPr>
          <w:p w14:paraId="000005E2" w14:textId="77777777" w:rsidR="009F1887" w:rsidRDefault="009F1887"/>
        </w:tc>
      </w:tr>
      <w:tr w:rsidR="009F1887" w14:paraId="7F810AD8" w14:textId="77777777">
        <w:trPr>
          <w:trHeight w:val="908"/>
        </w:trPr>
        <w:tc>
          <w:tcPr>
            <w:tcW w:w="6138" w:type="dxa"/>
            <w:shd w:val="clear" w:color="auto" w:fill="auto"/>
            <w:vAlign w:val="center"/>
          </w:tcPr>
          <w:p w14:paraId="000005E3" w14:textId="77777777" w:rsidR="009F1887" w:rsidRDefault="00790D5B">
            <w:r>
              <w:t>Workers wear uniforms and protective gear adequate for technological processes (gloves, helmets, respirators, eyeglasses, etc.)</w:t>
            </w:r>
          </w:p>
        </w:tc>
        <w:tc>
          <w:tcPr>
            <w:tcW w:w="1170" w:type="dxa"/>
            <w:shd w:val="clear" w:color="auto" w:fill="auto"/>
            <w:vAlign w:val="center"/>
          </w:tcPr>
          <w:p w14:paraId="000005E4" w14:textId="77777777" w:rsidR="009F1887" w:rsidRDefault="009F1887"/>
        </w:tc>
        <w:tc>
          <w:tcPr>
            <w:tcW w:w="1165" w:type="dxa"/>
            <w:shd w:val="clear" w:color="auto" w:fill="auto"/>
            <w:vAlign w:val="center"/>
          </w:tcPr>
          <w:p w14:paraId="000005E5" w14:textId="77777777" w:rsidR="009F1887" w:rsidRDefault="009F1887"/>
        </w:tc>
        <w:tc>
          <w:tcPr>
            <w:tcW w:w="1085" w:type="dxa"/>
            <w:shd w:val="clear" w:color="auto" w:fill="auto"/>
            <w:vAlign w:val="center"/>
          </w:tcPr>
          <w:p w14:paraId="000005E6" w14:textId="77777777" w:rsidR="009F1887" w:rsidRDefault="009F1887"/>
        </w:tc>
        <w:tc>
          <w:tcPr>
            <w:tcW w:w="1080" w:type="dxa"/>
            <w:shd w:val="clear" w:color="auto" w:fill="auto"/>
            <w:vAlign w:val="center"/>
          </w:tcPr>
          <w:p w14:paraId="000005E7" w14:textId="77777777" w:rsidR="009F1887" w:rsidRDefault="009F1887"/>
        </w:tc>
        <w:tc>
          <w:tcPr>
            <w:tcW w:w="3330" w:type="dxa"/>
            <w:shd w:val="clear" w:color="auto" w:fill="auto"/>
            <w:vAlign w:val="center"/>
          </w:tcPr>
          <w:p w14:paraId="000005E8" w14:textId="77777777" w:rsidR="009F1887" w:rsidRDefault="009F1887"/>
        </w:tc>
      </w:tr>
      <w:tr w:rsidR="009F1887" w14:paraId="148A0D43" w14:textId="77777777">
        <w:trPr>
          <w:trHeight w:val="620"/>
        </w:trPr>
        <w:tc>
          <w:tcPr>
            <w:tcW w:w="6138" w:type="dxa"/>
            <w:shd w:val="clear" w:color="auto" w:fill="auto"/>
            <w:vAlign w:val="center"/>
          </w:tcPr>
          <w:p w14:paraId="000005E9" w14:textId="77777777" w:rsidR="009F1887" w:rsidRDefault="00790D5B">
            <w:r>
              <w:t>Construction waste is being disposed exclusively in the designated locations</w:t>
            </w:r>
          </w:p>
        </w:tc>
        <w:tc>
          <w:tcPr>
            <w:tcW w:w="1170" w:type="dxa"/>
            <w:shd w:val="clear" w:color="auto" w:fill="auto"/>
            <w:vAlign w:val="center"/>
          </w:tcPr>
          <w:p w14:paraId="000005EA" w14:textId="77777777" w:rsidR="009F1887" w:rsidRDefault="009F1887"/>
        </w:tc>
        <w:tc>
          <w:tcPr>
            <w:tcW w:w="1165" w:type="dxa"/>
            <w:shd w:val="clear" w:color="auto" w:fill="auto"/>
            <w:vAlign w:val="center"/>
          </w:tcPr>
          <w:p w14:paraId="000005EB" w14:textId="77777777" w:rsidR="009F1887" w:rsidRDefault="009F1887"/>
        </w:tc>
        <w:tc>
          <w:tcPr>
            <w:tcW w:w="1085" w:type="dxa"/>
            <w:shd w:val="clear" w:color="auto" w:fill="auto"/>
            <w:vAlign w:val="center"/>
          </w:tcPr>
          <w:p w14:paraId="000005EC" w14:textId="77777777" w:rsidR="009F1887" w:rsidRDefault="009F1887"/>
        </w:tc>
        <w:tc>
          <w:tcPr>
            <w:tcW w:w="1080" w:type="dxa"/>
            <w:shd w:val="clear" w:color="auto" w:fill="auto"/>
            <w:vAlign w:val="center"/>
          </w:tcPr>
          <w:p w14:paraId="000005ED" w14:textId="77777777" w:rsidR="009F1887" w:rsidRDefault="009F1887"/>
        </w:tc>
        <w:tc>
          <w:tcPr>
            <w:tcW w:w="3330" w:type="dxa"/>
            <w:shd w:val="clear" w:color="auto" w:fill="auto"/>
            <w:vAlign w:val="center"/>
          </w:tcPr>
          <w:p w14:paraId="000005EE" w14:textId="77777777" w:rsidR="009F1887" w:rsidRDefault="009F1887"/>
        </w:tc>
      </w:tr>
      <w:tr w:rsidR="009F1887" w14:paraId="0F2B8282" w14:textId="77777777">
        <w:tc>
          <w:tcPr>
            <w:tcW w:w="6138" w:type="dxa"/>
            <w:shd w:val="clear" w:color="auto" w:fill="auto"/>
            <w:vAlign w:val="center"/>
          </w:tcPr>
          <w:p w14:paraId="000005EF" w14:textId="77777777" w:rsidR="009F1887" w:rsidRDefault="00790D5B">
            <w:r>
              <w:t>Upon completion of physical activity on site, the site and contractor’s camp/base cleared of any remaining left-over from works and harmonized with surrounding landscape</w:t>
            </w:r>
          </w:p>
        </w:tc>
        <w:tc>
          <w:tcPr>
            <w:tcW w:w="1170" w:type="dxa"/>
            <w:shd w:val="clear" w:color="auto" w:fill="auto"/>
            <w:vAlign w:val="center"/>
          </w:tcPr>
          <w:p w14:paraId="000005F0" w14:textId="77777777" w:rsidR="009F1887" w:rsidRDefault="009F1887"/>
        </w:tc>
        <w:tc>
          <w:tcPr>
            <w:tcW w:w="1165" w:type="dxa"/>
            <w:shd w:val="clear" w:color="auto" w:fill="auto"/>
            <w:vAlign w:val="center"/>
          </w:tcPr>
          <w:p w14:paraId="000005F1" w14:textId="77777777" w:rsidR="009F1887" w:rsidRDefault="009F1887"/>
        </w:tc>
        <w:tc>
          <w:tcPr>
            <w:tcW w:w="1085" w:type="dxa"/>
            <w:shd w:val="clear" w:color="auto" w:fill="auto"/>
            <w:vAlign w:val="center"/>
          </w:tcPr>
          <w:p w14:paraId="000005F2" w14:textId="77777777" w:rsidR="009F1887" w:rsidRDefault="009F1887"/>
        </w:tc>
        <w:tc>
          <w:tcPr>
            <w:tcW w:w="1080" w:type="dxa"/>
            <w:shd w:val="clear" w:color="auto" w:fill="auto"/>
            <w:vAlign w:val="center"/>
          </w:tcPr>
          <w:p w14:paraId="000005F3" w14:textId="77777777" w:rsidR="009F1887" w:rsidRDefault="009F1887"/>
        </w:tc>
        <w:tc>
          <w:tcPr>
            <w:tcW w:w="3330" w:type="dxa"/>
            <w:shd w:val="clear" w:color="auto" w:fill="auto"/>
            <w:vAlign w:val="center"/>
          </w:tcPr>
          <w:p w14:paraId="000005F4" w14:textId="77777777" w:rsidR="009F1887" w:rsidRDefault="009F1887"/>
        </w:tc>
      </w:tr>
      <w:tr w:rsidR="009F1887" w14:paraId="133A6D6D" w14:textId="77777777">
        <w:tc>
          <w:tcPr>
            <w:tcW w:w="6138" w:type="dxa"/>
            <w:shd w:val="clear" w:color="auto" w:fill="auto"/>
            <w:vAlign w:val="center"/>
          </w:tcPr>
          <w:p w14:paraId="000005F5" w14:textId="77777777" w:rsidR="009F1887" w:rsidRDefault="00790D5B">
            <w:r>
              <w:t>All contracted workers have an employment contract or engagement agreement in writing</w:t>
            </w:r>
          </w:p>
        </w:tc>
        <w:tc>
          <w:tcPr>
            <w:tcW w:w="1170" w:type="dxa"/>
            <w:shd w:val="clear" w:color="auto" w:fill="auto"/>
            <w:vAlign w:val="center"/>
          </w:tcPr>
          <w:p w14:paraId="000005F6" w14:textId="77777777" w:rsidR="009F1887" w:rsidRDefault="009F1887"/>
        </w:tc>
        <w:tc>
          <w:tcPr>
            <w:tcW w:w="1165" w:type="dxa"/>
            <w:shd w:val="clear" w:color="auto" w:fill="auto"/>
            <w:vAlign w:val="center"/>
          </w:tcPr>
          <w:p w14:paraId="000005F7" w14:textId="77777777" w:rsidR="009F1887" w:rsidRDefault="009F1887"/>
        </w:tc>
        <w:tc>
          <w:tcPr>
            <w:tcW w:w="1085" w:type="dxa"/>
            <w:shd w:val="clear" w:color="auto" w:fill="auto"/>
            <w:vAlign w:val="center"/>
          </w:tcPr>
          <w:p w14:paraId="000005F8" w14:textId="77777777" w:rsidR="009F1887" w:rsidRDefault="009F1887"/>
        </w:tc>
        <w:tc>
          <w:tcPr>
            <w:tcW w:w="1080" w:type="dxa"/>
            <w:shd w:val="clear" w:color="auto" w:fill="auto"/>
            <w:vAlign w:val="center"/>
          </w:tcPr>
          <w:p w14:paraId="000005F9" w14:textId="77777777" w:rsidR="009F1887" w:rsidRDefault="009F1887"/>
        </w:tc>
        <w:tc>
          <w:tcPr>
            <w:tcW w:w="3330" w:type="dxa"/>
            <w:shd w:val="clear" w:color="auto" w:fill="auto"/>
            <w:vAlign w:val="center"/>
          </w:tcPr>
          <w:p w14:paraId="000005FA" w14:textId="77777777" w:rsidR="009F1887" w:rsidRDefault="009F1887"/>
        </w:tc>
      </w:tr>
      <w:tr w:rsidR="009F1887" w14:paraId="4384AAEA" w14:textId="77777777">
        <w:tc>
          <w:tcPr>
            <w:tcW w:w="6138" w:type="dxa"/>
            <w:shd w:val="clear" w:color="auto" w:fill="auto"/>
            <w:vAlign w:val="center"/>
          </w:tcPr>
          <w:p w14:paraId="000005FB" w14:textId="77777777" w:rsidR="009F1887" w:rsidRDefault="00790D5B">
            <w:r>
              <w:t>All contracted workers are paid at least once a month</w:t>
            </w:r>
          </w:p>
        </w:tc>
        <w:tc>
          <w:tcPr>
            <w:tcW w:w="1170" w:type="dxa"/>
            <w:shd w:val="clear" w:color="auto" w:fill="auto"/>
            <w:vAlign w:val="center"/>
          </w:tcPr>
          <w:p w14:paraId="000005FC" w14:textId="77777777" w:rsidR="009F1887" w:rsidRDefault="009F1887"/>
        </w:tc>
        <w:tc>
          <w:tcPr>
            <w:tcW w:w="1165" w:type="dxa"/>
            <w:shd w:val="clear" w:color="auto" w:fill="auto"/>
            <w:vAlign w:val="center"/>
          </w:tcPr>
          <w:p w14:paraId="000005FD" w14:textId="77777777" w:rsidR="009F1887" w:rsidRDefault="009F1887"/>
        </w:tc>
        <w:tc>
          <w:tcPr>
            <w:tcW w:w="1085" w:type="dxa"/>
            <w:shd w:val="clear" w:color="auto" w:fill="auto"/>
            <w:vAlign w:val="center"/>
          </w:tcPr>
          <w:p w14:paraId="000005FE" w14:textId="77777777" w:rsidR="009F1887" w:rsidRDefault="009F1887"/>
        </w:tc>
        <w:tc>
          <w:tcPr>
            <w:tcW w:w="1080" w:type="dxa"/>
            <w:shd w:val="clear" w:color="auto" w:fill="auto"/>
            <w:vAlign w:val="center"/>
          </w:tcPr>
          <w:p w14:paraId="000005FF" w14:textId="77777777" w:rsidR="009F1887" w:rsidRDefault="009F1887"/>
        </w:tc>
        <w:tc>
          <w:tcPr>
            <w:tcW w:w="3330" w:type="dxa"/>
            <w:shd w:val="clear" w:color="auto" w:fill="auto"/>
            <w:vAlign w:val="center"/>
          </w:tcPr>
          <w:p w14:paraId="00000600" w14:textId="77777777" w:rsidR="009F1887" w:rsidRDefault="009F1887"/>
        </w:tc>
      </w:tr>
      <w:tr w:rsidR="009F1887" w14:paraId="539DB550" w14:textId="77777777">
        <w:tc>
          <w:tcPr>
            <w:tcW w:w="6138" w:type="dxa"/>
            <w:shd w:val="clear" w:color="auto" w:fill="auto"/>
            <w:vAlign w:val="center"/>
          </w:tcPr>
          <w:p w14:paraId="00000601" w14:textId="77777777" w:rsidR="009F1887" w:rsidRDefault="00790D5B">
            <w:r>
              <w:t>No contracted workers worked over 8 hours a day, 40 hours a week without an overtime pay</w:t>
            </w:r>
          </w:p>
        </w:tc>
        <w:tc>
          <w:tcPr>
            <w:tcW w:w="1170" w:type="dxa"/>
            <w:shd w:val="clear" w:color="auto" w:fill="auto"/>
            <w:vAlign w:val="center"/>
          </w:tcPr>
          <w:p w14:paraId="00000602" w14:textId="77777777" w:rsidR="009F1887" w:rsidRDefault="009F1887"/>
        </w:tc>
        <w:tc>
          <w:tcPr>
            <w:tcW w:w="1165" w:type="dxa"/>
            <w:shd w:val="clear" w:color="auto" w:fill="auto"/>
            <w:vAlign w:val="center"/>
          </w:tcPr>
          <w:p w14:paraId="00000603" w14:textId="77777777" w:rsidR="009F1887" w:rsidRDefault="009F1887"/>
        </w:tc>
        <w:tc>
          <w:tcPr>
            <w:tcW w:w="1085" w:type="dxa"/>
            <w:shd w:val="clear" w:color="auto" w:fill="auto"/>
            <w:vAlign w:val="center"/>
          </w:tcPr>
          <w:p w14:paraId="00000604" w14:textId="77777777" w:rsidR="009F1887" w:rsidRDefault="009F1887"/>
        </w:tc>
        <w:tc>
          <w:tcPr>
            <w:tcW w:w="1080" w:type="dxa"/>
            <w:shd w:val="clear" w:color="auto" w:fill="auto"/>
            <w:vAlign w:val="center"/>
          </w:tcPr>
          <w:p w14:paraId="00000605" w14:textId="77777777" w:rsidR="009F1887" w:rsidRDefault="009F1887"/>
        </w:tc>
        <w:tc>
          <w:tcPr>
            <w:tcW w:w="3330" w:type="dxa"/>
            <w:shd w:val="clear" w:color="auto" w:fill="auto"/>
            <w:vAlign w:val="center"/>
          </w:tcPr>
          <w:p w14:paraId="00000606" w14:textId="77777777" w:rsidR="009F1887" w:rsidRDefault="009F1887"/>
        </w:tc>
      </w:tr>
      <w:tr w:rsidR="009F1887" w14:paraId="6441A3E3" w14:textId="77777777">
        <w:tc>
          <w:tcPr>
            <w:tcW w:w="6138" w:type="dxa"/>
            <w:shd w:val="clear" w:color="auto" w:fill="auto"/>
            <w:vAlign w:val="center"/>
          </w:tcPr>
          <w:p w14:paraId="00000607" w14:textId="77777777" w:rsidR="009F1887" w:rsidRDefault="00790D5B">
            <w:r>
              <w:t>All contracted workers had a regular daily and weekly rest</w:t>
            </w:r>
          </w:p>
        </w:tc>
        <w:tc>
          <w:tcPr>
            <w:tcW w:w="1170" w:type="dxa"/>
            <w:shd w:val="clear" w:color="auto" w:fill="auto"/>
            <w:vAlign w:val="center"/>
          </w:tcPr>
          <w:p w14:paraId="00000608" w14:textId="77777777" w:rsidR="009F1887" w:rsidRDefault="009F1887"/>
        </w:tc>
        <w:tc>
          <w:tcPr>
            <w:tcW w:w="1165" w:type="dxa"/>
            <w:shd w:val="clear" w:color="auto" w:fill="auto"/>
            <w:vAlign w:val="center"/>
          </w:tcPr>
          <w:p w14:paraId="00000609" w14:textId="77777777" w:rsidR="009F1887" w:rsidRDefault="009F1887"/>
        </w:tc>
        <w:tc>
          <w:tcPr>
            <w:tcW w:w="1085" w:type="dxa"/>
            <w:shd w:val="clear" w:color="auto" w:fill="auto"/>
            <w:vAlign w:val="center"/>
          </w:tcPr>
          <w:p w14:paraId="0000060A" w14:textId="77777777" w:rsidR="009F1887" w:rsidRDefault="009F1887"/>
        </w:tc>
        <w:tc>
          <w:tcPr>
            <w:tcW w:w="1080" w:type="dxa"/>
            <w:shd w:val="clear" w:color="auto" w:fill="auto"/>
            <w:vAlign w:val="center"/>
          </w:tcPr>
          <w:p w14:paraId="0000060B" w14:textId="77777777" w:rsidR="009F1887" w:rsidRDefault="009F1887"/>
        </w:tc>
        <w:tc>
          <w:tcPr>
            <w:tcW w:w="3330" w:type="dxa"/>
            <w:shd w:val="clear" w:color="auto" w:fill="auto"/>
            <w:vAlign w:val="center"/>
          </w:tcPr>
          <w:p w14:paraId="0000060C" w14:textId="77777777" w:rsidR="009F1887" w:rsidRDefault="009F1887"/>
        </w:tc>
      </w:tr>
      <w:tr w:rsidR="009F1887" w14:paraId="453935E6" w14:textId="77777777">
        <w:tc>
          <w:tcPr>
            <w:tcW w:w="6138" w:type="dxa"/>
            <w:shd w:val="clear" w:color="auto" w:fill="auto"/>
            <w:vAlign w:val="center"/>
          </w:tcPr>
          <w:p w14:paraId="0000060D" w14:textId="77777777" w:rsidR="009F1887" w:rsidRDefault="00790D5B">
            <w:r>
              <w:t>OHS-related training program conducted for contracted workers within the report period.</w:t>
            </w:r>
          </w:p>
        </w:tc>
        <w:tc>
          <w:tcPr>
            <w:tcW w:w="1170" w:type="dxa"/>
            <w:shd w:val="clear" w:color="auto" w:fill="auto"/>
            <w:vAlign w:val="center"/>
          </w:tcPr>
          <w:p w14:paraId="0000060E" w14:textId="77777777" w:rsidR="009F1887" w:rsidRDefault="009F1887"/>
        </w:tc>
        <w:tc>
          <w:tcPr>
            <w:tcW w:w="1165" w:type="dxa"/>
            <w:shd w:val="clear" w:color="auto" w:fill="auto"/>
            <w:vAlign w:val="center"/>
          </w:tcPr>
          <w:p w14:paraId="0000060F" w14:textId="77777777" w:rsidR="009F1887" w:rsidRDefault="009F1887"/>
        </w:tc>
        <w:tc>
          <w:tcPr>
            <w:tcW w:w="1085" w:type="dxa"/>
            <w:shd w:val="clear" w:color="auto" w:fill="auto"/>
            <w:vAlign w:val="center"/>
          </w:tcPr>
          <w:p w14:paraId="00000610" w14:textId="77777777" w:rsidR="009F1887" w:rsidRDefault="009F1887"/>
        </w:tc>
        <w:tc>
          <w:tcPr>
            <w:tcW w:w="1080" w:type="dxa"/>
            <w:shd w:val="clear" w:color="auto" w:fill="auto"/>
            <w:vAlign w:val="center"/>
          </w:tcPr>
          <w:p w14:paraId="00000611" w14:textId="77777777" w:rsidR="009F1887" w:rsidRDefault="009F1887"/>
        </w:tc>
        <w:tc>
          <w:tcPr>
            <w:tcW w:w="3330" w:type="dxa"/>
            <w:shd w:val="clear" w:color="auto" w:fill="auto"/>
            <w:vAlign w:val="center"/>
          </w:tcPr>
          <w:p w14:paraId="00000612" w14:textId="77777777" w:rsidR="009F1887" w:rsidRDefault="009F1887"/>
        </w:tc>
      </w:tr>
      <w:tr w:rsidR="009F1887" w14:paraId="3ED58AC0" w14:textId="77777777">
        <w:tc>
          <w:tcPr>
            <w:tcW w:w="6138" w:type="dxa"/>
            <w:shd w:val="clear" w:color="auto" w:fill="auto"/>
            <w:vAlign w:val="center"/>
          </w:tcPr>
          <w:p w14:paraId="00000613" w14:textId="77777777" w:rsidR="009F1887" w:rsidRDefault="00790D5B">
            <w:r>
              <w:t>Contracted workers involved in accidents at work resulting in injuries or fatalities.</w:t>
            </w:r>
          </w:p>
        </w:tc>
        <w:tc>
          <w:tcPr>
            <w:tcW w:w="1170" w:type="dxa"/>
            <w:shd w:val="clear" w:color="auto" w:fill="auto"/>
            <w:vAlign w:val="center"/>
          </w:tcPr>
          <w:p w14:paraId="00000614" w14:textId="77777777" w:rsidR="009F1887" w:rsidRDefault="009F1887"/>
        </w:tc>
        <w:tc>
          <w:tcPr>
            <w:tcW w:w="1165" w:type="dxa"/>
            <w:shd w:val="clear" w:color="auto" w:fill="auto"/>
            <w:vAlign w:val="center"/>
          </w:tcPr>
          <w:p w14:paraId="00000615" w14:textId="77777777" w:rsidR="009F1887" w:rsidRDefault="009F1887"/>
        </w:tc>
        <w:tc>
          <w:tcPr>
            <w:tcW w:w="1085" w:type="dxa"/>
            <w:shd w:val="clear" w:color="auto" w:fill="auto"/>
            <w:vAlign w:val="center"/>
          </w:tcPr>
          <w:p w14:paraId="00000616" w14:textId="77777777" w:rsidR="009F1887" w:rsidRDefault="009F1887"/>
        </w:tc>
        <w:tc>
          <w:tcPr>
            <w:tcW w:w="1080" w:type="dxa"/>
            <w:shd w:val="clear" w:color="auto" w:fill="auto"/>
            <w:vAlign w:val="center"/>
          </w:tcPr>
          <w:p w14:paraId="00000617" w14:textId="77777777" w:rsidR="009F1887" w:rsidRDefault="009F1887"/>
        </w:tc>
        <w:tc>
          <w:tcPr>
            <w:tcW w:w="3330" w:type="dxa"/>
            <w:shd w:val="clear" w:color="auto" w:fill="auto"/>
            <w:vAlign w:val="center"/>
          </w:tcPr>
          <w:p w14:paraId="00000618" w14:textId="77777777" w:rsidR="009F1887" w:rsidRDefault="009F1887"/>
        </w:tc>
      </w:tr>
      <w:tr w:rsidR="009F1887" w14:paraId="2138CB8F" w14:textId="77777777">
        <w:trPr>
          <w:trHeight w:val="458"/>
        </w:trPr>
        <w:tc>
          <w:tcPr>
            <w:tcW w:w="6138" w:type="dxa"/>
            <w:shd w:val="clear" w:color="auto" w:fill="auto"/>
            <w:vAlign w:val="center"/>
          </w:tcPr>
          <w:p w14:paraId="00000619" w14:textId="77777777" w:rsidR="009F1887" w:rsidRDefault="00790D5B">
            <w:r>
              <w:lastRenderedPageBreak/>
              <w:t>Contracted workers reported on cases of discrimination, harassment, sexual harassment or non-compliance with law</w:t>
            </w:r>
          </w:p>
        </w:tc>
        <w:tc>
          <w:tcPr>
            <w:tcW w:w="1170" w:type="dxa"/>
            <w:shd w:val="clear" w:color="auto" w:fill="auto"/>
            <w:vAlign w:val="center"/>
          </w:tcPr>
          <w:p w14:paraId="0000061A" w14:textId="77777777" w:rsidR="009F1887" w:rsidRDefault="009F1887"/>
        </w:tc>
        <w:tc>
          <w:tcPr>
            <w:tcW w:w="1165" w:type="dxa"/>
            <w:shd w:val="clear" w:color="auto" w:fill="auto"/>
            <w:vAlign w:val="center"/>
          </w:tcPr>
          <w:p w14:paraId="0000061B" w14:textId="77777777" w:rsidR="009F1887" w:rsidRDefault="009F1887"/>
        </w:tc>
        <w:tc>
          <w:tcPr>
            <w:tcW w:w="1085" w:type="dxa"/>
            <w:shd w:val="clear" w:color="auto" w:fill="auto"/>
            <w:vAlign w:val="center"/>
          </w:tcPr>
          <w:p w14:paraId="0000061C" w14:textId="77777777" w:rsidR="009F1887" w:rsidRDefault="009F1887"/>
        </w:tc>
        <w:tc>
          <w:tcPr>
            <w:tcW w:w="1080" w:type="dxa"/>
            <w:shd w:val="clear" w:color="auto" w:fill="auto"/>
            <w:vAlign w:val="center"/>
          </w:tcPr>
          <w:p w14:paraId="0000061D" w14:textId="77777777" w:rsidR="009F1887" w:rsidRDefault="009F1887"/>
        </w:tc>
        <w:tc>
          <w:tcPr>
            <w:tcW w:w="3330" w:type="dxa"/>
            <w:shd w:val="clear" w:color="auto" w:fill="auto"/>
            <w:vAlign w:val="center"/>
          </w:tcPr>
          <w:p w14:paraId="0000061E" w14:textId="77777777" w:rsidR="009F1887" w:rsidRDefault="009F1887"/>
        </w:tc>
      </w:tr>
    </w:tbl>
    <w:p w14:paraId="0000061F" w14:textId="77777777" w:rsidR="009F1887" w:rsidRDefault="009F1887">
      <w:pPr>
        <w:sectPr w:rsidR="009F1887">
          <w:headerReference w:type="default" r:id="rId52"/>
          <w:pgSz w:w="12240" w:h="15840"/>
          <w:pgMar w:top="1440" w:right="1440" w:bottom="1440" w:left="1440" w:header="720" w:footer="720" w:gutter="0"/>
          <w:cols w:space="720" w:equalWidth="0">
            <w:col w:w="9360"/>
          </w:cols>
        </w:sectPr>
      </w:pPr>
    </w:p>
    <w:p w14:paraId="00000620" w14:textId="77777777" w:rsidR="009F1887" w:rsidRDefault="00790D5B">
      <w:pPr>
        <w:keepNext/>
        <w:keepLines/>
        <w:pBdr>
          <w:top w:val="nil"/>
          <w:left w:val="nil"/>
          <w:bottom w:val="nil"/>
          <w:right w:val="nil"/>
          <w:between w:val="nil"/>
        </w:pBdr>
        <w:spacing w:after="240" w:line="240" w:lineRule="auto"/>
        <w:ind w:left="-18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Annex VI. Labor </w:t>
      </w:r>
      <w:sdt>
        <w:sdtPr>
          <w:tag w:val="goog_rdk_431"/>
          <w:id w:val="408353102"/>
        </w:sdtPr>
        <w:sdtContent>
          <w:ins w:id="697" w:author="Author" w:date="2020-07-15T05:14:00Z">
            <w:r>
              <w:rPr>
                <w:rFonts w:ascii="Times New Roman" w:eastAsia="Times New Roman" w:hAnsi="Times New Roman" w:cs="Times New Roman"/>
                <w:b/>
                <w:color w:val="000000"/>
              </w:rPr>
              <w:t>Management Procedures</w:t>
            </w:r>
          </w:ins>
        </w:sdtContent>
      </w:sdt>
    </w:p>
    <w:p w14:paraId="00000621" w14:textId="77777777" w:rsidR="009F1887" w:rsidRDefault="009F1887">
      <w:pPr>
        <w:rPr>
          <w:rFonts w:ascii="Times New Roman" w:eastAsia="Times New Roman" w:hAnsi="Times New Roman" w:cs="Times New Roman"/>
        </w:rPr>
      </w:pPr>
    </w:p>
    <w:p w14:paraId="00000622" w14:textId="77777777" w:rsidR="009F1887" w:rsidRDefault="009F1887">
      <w:pPr>
        <w:rPr>
          <w:rFonts w:ascii="Times New Roman" w:eastAsia="Times New Roman" w:hAnsi="Times New Roman" w:cs="Times New Roman"/>
        </w:rPr>
      </w:pPr>
    </w:p>
    <w:p w14:paraId="00000623" w14:textId="77777777" w:rsidR="009F1887" w:rsidRDefault="009F1887">
      <w:pPr>
        <w:jc w:val="center"/>
        <w:rPr>
          <w:rFonts w:ascii="Times New Roman" w:eastAsia="Times New Roman" w:hAnsi="Times New Roman" w:cs="Times New Roman"/>
          <w:sz w:val="28"/>
          <w:szCs w:val="28"/>
        </w:rPr>
      </w:pPr>
    </w:p>
    <w:p w14:paraId="00000624" w14:textId="77777777" w:rsidR="009F1887" w:rsidRDefault="009F1887">
      <w:pPr>
        <w:jc w:val="center"/>
        <w:rPr>
          <w:rFonts w:ascii="Times New Roman" w:eastAsia="Times New Roman" w:hAnsi="Times New Roman" w:cs="Times New Roman"/>
          <w:sz w:val="28"/>
          <w:szCs w:val="28"/>
        </w:rPr>
      </w:pPr>
    </w:p>
    <w:p w14:paraId="00000625" w14:textId="77777777" w:rsidR="009F1887" w:rsidRDefault="009F1887">
      <w:pPr>
        <w:jc w:val="center"/>
        <w:rPr>
          <w:rFonts w:ascii="Times New Roman" w:eastAsia="Times New Roman" w:hAnsi="Times New Roman" w:cs="Times New Roman"/>
          <w:sz w:val="28"/>
          <w:szCs w:val="28"/>
        </w:rPr>
      </w:pPr>
    </w:p>
    <w:p w14:paraId="00000626" w14:textId="77777777" w:rsidR="009F1887" w:rsidRDefault="00790D5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Georgia COVID-19 Emergency Project</w:t>
      </w:r>
    </w:p>
    <w:p w14:paraId="00000627" w14:textId="77777777" w:rsidR="009F1887" w:rsidRDefault="00790D5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Labor Management Procedures</w:t>
      </w:r>
    </w:p>
    <w:p w14:paraId="00000628" w14:textId="77777777" w:rsidR="009F1887" w:rsidRDefault="00790D5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Draft</w:t>
      </w:r>
    </w:p>
    <w:p w14:paraId="00000629" w14:textId="77777777" w:rsidR="009F1887" w:rsidRDefault="009F1887">
      <w:pPr>
        <w:rPr>
          <w:rFonts w:ascii="Times New Roman" w:eastAsia="Times New Roman" w:hAnsi="Times New Roman" w:cs="Times New Roman"/>
        </w:rPr>
      </w:pPr>
    </w:p>
    <w:p w14:paraId="0000062A" w14:textId="77777777" w:rsidR="009F1887" w:rsidRDefault="009F1887">
      <w:pPr>
        <w:jc w:val="both"/>
        <w:rPr>
          <w:rFonts w:ascii="Times New Roman" w:eastAsia="Times New Roman" w:hAnsi="Times New Roman" w:cs="Times New Roman"/>
          <w:i/>
        </w:rPr>
      </w:pPr>
    </w:p>
    <w:p w14:paraId="0000062B" w14:textId="77777777" w:rsidR="009F1887" w:rsidRDefault="009F1887">
      <w:pPr>
        <w:jc w:val="both"/>
        <w:rPr>
          <w:rFonts w:ascii="Times New Roman" w:eastAsia="Times New Roman" w:hAnsi="Times New Roman" w:cs="Times New Roman"/>
        </w:rPr>
      </w:pPr>
    </w:p>
    <w:p w14:paraId="0000062C" w14:textId="77777777" w:rsidR="009F1887" w:rsidRDefault="009F1887">
      <w:pPr>
        <w:jc w:val="both"/>
        <w:rPr>
          <w:rFonts w:ascii="Times New Roman" w:eastAsia="Times New Roman" w:hAnsi="Times New Roman" w:cs="Times New Roman"/>
        </w:rPr>
      </w:pPr>
    </w:p>
    <w:p w14:paraId="0000062D" w14:textId="77777777" w:rsidR="009F1887" w:rsidRDefault="009F1887">
      <w:pPr>
        <w:jc w:val="both"/>
        <w:rPr>
          <w:rFonts w:ascii="Times New Roman" w:eastAsia="Times New Roman" w:hAnsi="Times New Roman" w:cs="Times New Roman"/>
        </w:rPr>
      </w:pPr>
    </w:p>
    <w:p w14:paraId="0000062E" w14:textId="77777777" w:rsidR="009F1887" w:rsidRDefault="009F1887">
      <w:pPr>
        <w:jc w:val="both"/>
        <w:rPr>
          <w:rFonts w:ascii="Times New Roman" w:eastAsia="Times New Roman" w:hAnsi="Times New Roman" w:cs="Times New Roman"/>
        </w:rPr>
      </w:pPr>
    </w:p>
    <w:p w14:paraId="0000062F" w14:textId="77777777" w:rsidR="009F1887" w:rsidRDefault="009F1887">
      <w:pPr>
        <w:jc w:val="both"/>
        <w:rPr>
          <w:rFonts w:ascii="Times New Roman" w:eastAsia="Times New Roman" w:hAnsi="Times New Roman" w:cs="Times New Roman"/>
        </w:rPr>
      </w:pPr>
    </w:p>
    <w:p w14:paraId="00000630" w14:textId="77777777" w:rsidR="009F1887" w:rsidRDefault="009F1887">
      <w:pPr>
        <w:jc w:val="both"/>
        <w:rPr>
          <w:rFonts w:ascii="Times New Roman" w:eastAsia="Times New Roman" w:hAnsi="Times New Roman" w:cs="Times New Roman"/>
        </w:rPr>
      </w:pPr>
      <w:bookmarkStart w:id="698" w:name="_GoBack"/>
      <w:bookmarkEnd w:id="698"/>
    </w:p>
    <w:p w14:paraId="00000631" w14:textId="77777777" w:rsidR="009F1887" w:rsidRDefault="009F1887">
      <w:pPr>
        <w:jc w:val="both"/>
        <w:rPr>
          <w:rFonts w:ascii="Times New Roman" w:eastAsia="Times New Roman" w:hAnsi="Times New Roman" w:cs="Times New Roman"/>
        </w:rPr>
      </w:pPr>
    </w:p>
    <w:p w14:paraId="00000632" w14:textId="77777777" w:rsidR="009F1887" w:rsidRDefault="009F1887">
      <w:pPr>
        <w:jc w:val="both"/>
        <w:rPr>
          <w:rFonts w:ascii="Times New Roman" w:eastAsia="Times New Roman" w:hAnsi="Times New Roman" w:cs="Times New Roman"/>
        </w:rPr>
      </w:pPr>
    </w:p>
    <w:p w14:paraId="00000633" w14:textId="77777777" w:rsidR="009F1887" w:rsidRDefault="009F1887">
      <w:pPr>
        <w:jc w:val="both"/>
        <w:rPr>
          <w:rFonts w:ascii="Times New Roman" w:eastAsia="Times New Roman" w:hAnsi="Times New Roman" w:cs="Times New Roman"/>
        </w:rPr>
      </w:pPr>
    </w:p>
    <w:p w14:paraId="00000634" w14:textId="77777777" w:rsidR="009F1887" w:rsidRDefault="009F1887">
      <w:pPr>
        <w:jc w:val="both"/>
        <w:rPr>
          <w:rFonts w:ascii="Times New Roman" w:eastAsia="Times New Roman" w:hAnsi="Times New Roman" w:cs="Times New Roman"/>
        </w:rPr>
      </w:pPr>
    </w:p>
    <w:p w14:paraId="00000635" w14:textId="77777777" w:rsidR="009F1887" w:rsidRDefault="009F1887">
      <w:pPr>
        <w:jc w:val="both"/>
        <w:rPr>
          <w:rFonts w:ascii="Times New Roman" w:eastAsia="Times New Roman" w:hAnsi="Times New Roman" w:cs="Times New Roman"/>
        </w:rPr>
      </w:pPr>
    </w:p>
    <w:p w14:paraId="00000636" w14:textId="77777777" w:rsidR="009F1887" w:rsidRDefault="009F1887">
      <w:pPr>
        <w:jc w:val="both"/>
        <w:rPr>
          <w:rFonts w:ascii="Times New Roman" w:eastAsia="Times New Roman" w:hAnsi="Times New Roman" w:cs="Times New Roman"/>
        </w:rPr>
      </w:pPr>
    </w:p>
    <w:sdt>
      <w:sdtPr>
        <w:tag w:val="goog_rdk_432"/>
        <w:id w:val="-2054533595"/>
      </w:sdtPr>
      <w:sdtContent>
        <w:p w14:paraId="00000637" w14:textId="77777777" w:rsidR="009F1887" w:rsidRPr="009F1887" w:rsidRDefault="00790D5B">
          <w:pPr>
            <w:jc w:val="center"/>
            <w:rPr>
              <w:rPrChange w:id="699" w:author="Author" w:date="2020-07-15T05:14:00Z">
                <w:rPr>
                  <w:rFonts w:ascii="Times New Roman" w:eastAsia="Times New Roman" w:hAnsi="Times New Roman" w:cs="Times New Roman"/>
                </w:rPr>
              </w:rPrChange>
            </w:rPr>
            <w:pPrChange w:id="700" w:author="Author" w:date="2020-07-15T05:14:00Z">
              <w:pPr>
                <w:jc w:val="both"/>
              </w:pPr>
            </w:pPrChange>
          </w:pPr>
          <w:r>
            <w:rPr>
              <w:rFonts w:ascii="Times New Roman" w:eastAsia="Times New Roman" w:hAnsi="Times New Roman" w:cs="Times New Roman"/>
            </w:rPr>
            <w:t>July 2020</w:t>
          </w:r>
        </w:p>
      </w:sdtContent>
    </w:sdt>
    <w:p w14:paraId="00000638" w14:textId="77777777" w:rsidR="009F1887" w:rsidRDefault="009F1887">
      <w:pPr>
        <w:jc w:val="both"/>
        <w:rPr>
          <w:rFonts w:ascii="Times New Roman" w:eastAsia="Times New Roman" w:hAnsi="Times New Roman" w:cs="Times New Roman"/>
        </w:rPr>
      </w:pPr>
    </w:p>
    <w:p w14:paraId="00000639" w14:textId="77777777" w:rsidR="009F1887" w:rsidRDefault="00790D5B">
      <w:pPr>
        <w:pStyle w:val="Heading2"/>
        <w:numPr>
          <w:ilvl w:val="0"/>
          <w:numId w:val="65"/>
        </w:numPr>
        <w:spacing w:before="200" w:after="200"/>
        <w:ind w:left="426"/>
      </w:pPr>
      <w:r>
        <w:lastRenderedPageBreak/>
        <w:t>OVERVIEW OF LABOR USE ON THE PROJECT</w:t>
      </w:r>
    </w:p>
    <w:p w14:paraId="0000063A"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project supporting COVID-19 response activities in Georgia will include the following categories of project workers:</w:t>
      </w:r>
    </w:p>
    <w:p w14:paraId="0000063B" w14:textId="77777777" w:rsidR="009F1887" w:rsidRDefault="00790D5B">
      <w:pPr>
        <w:keepNext/>
        <w:numPr>
          <w:ilvl w:val="1"/>
          <w:numId w:val="29"/>
        </w:numPr>
        <w:spacing w:before="120" w:after="0" w:line="240" w:lineRule="auto"/>
        <w:ind w:left="900" w:hanging="450"/>
        <w:jc w:val="both"/>
        <w:rPr>
          <w:rFonts w:ascii="Times New Roman" w:eastAsia="Times New Roman" w:hAnsi="Times New Roman" w:cs="Times New Roman"/>
          <w:b/>
        </w:rPr>
      </w:pPr>
      <w:r>
        <w:rPr>
          <w:rFonts w:ascii="Times New Roman" w:eastAsia="Times New Roman" w:hAnsi="Times New Roman" w:cs="Times New Roman"/>
          <w:b/>
        </w:rPr>
        <w:t>Direct workers</w:t>
      </w:r>
    </w:p>
    <w:p w14:paraId="0000063C" w14:textId="77777777" w:rsidR="009F1887" w:rsidRDefault="00790D5B">
      <w:pPr>
        <w:keepNext/>
        <w:numPr>
          <w:ilvl w:val="1"/>
          <w:numId w:val="38"/>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Project Implementation Unit (PIU)  </w:t>
      </w:r>
      <w:sdt>
        <w:sdtPr>
          <w:tag w:val="goog_rdk_433"/>
          <w:id w:val="927922532"/>
        </w:sdtPr>
        <w:sdtContent>
          <w:ins w:id="701" w:author="Author" w:date="2020-07-15T05:14:00Z">
            <w:r>
              <w:rPr>
                <w:rFonts w:ascii="Times New Roman" w:eastAsia="Times New Roman" w:hAnsi="Times New Roman" w:cs="Times New Roman"/>
              </w:rPr>
              <w:t>s</w:t>
            </w:r>
          </w:ins>
        </w:sdtContent>
      </w:sdt>
      <w:sdt>
        <w:sdtPr>
          <w:tag w:val="goog_rdk_434"/>
          <w:id w:val="-308250184"/>
        </w:sdtPr>
        <w:sdtContent>
          <w:del w:id="702" w:author="Author" w:date="2020-07-15T05:14:00Z">
            <w:r>
              <w:rPr>
                <w:rFonts w:ascii="Times New Roman" w:eastAsia="Times New Roman" w:hAnsi="Times New Roman" w:cs="Times New Roman"/>
              </w:rPr>
              <w:delText>S</w:delText>
            </w:r>
          </w:del>
        </w:sdtContent>
      </w:sdt>
      <w:r>
        <w:rPr>
          <w:rFonts w:ascii="Times New Roman" w:eastAsia="Times New Roman" w:hAnsi="Times New Roman" w:cs="Times New Roman"/>
        </w:rPr>
        <w:t>taff including: a) MOILHSA staff involved in the project – who are civil servants; and b) technical staff hired on consultancy contract to perform work related to procurement, financial management, monitoring, environmental and social standards.</w:t>
      </w:r>
    </w:p>
    <w:p w14:paraId="0000063D" w14:textId="77777777" w:rsidR="009F1887" w:rsidRDefault="00790D5B">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Civil servants assigned to work on project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project. </w:t>
      </w:r>
    </w:p>
    <w:p w14:paraId="0A6C5C2D" w14:textId="77777777" w:rsidR="00483E40" w:rsidRPr="008E06CC" w:rsidRDefault="00483E40" w:rsidP="00483E40">
      <w:pPr>
        <w:keepNext/>
        <w:numPr>
          <w:ilvl w:val="1"/>
          <w:numId w:val="73"/>
        </w:numPr>
        <w:spacing w:before="120" w:after="120" w:line="240" w:lineRule="auto"/>
        <w:ind w:left="900" w:hanging="450"/>
        <w:contextualSpacing/>
        <w:jc w:val="both"/>
      </w:pPr>
      <w:commentRangeStart w:id="703"/>
      <w:r w:rsidRPr="00A874C5">
        <w:rPr>
          <w:b/>
        </w:rPr>
        <w:t>Contracted</w:t>
      </w:r>
      <w:r w:rsidRPr="00A874C5">
        <w:t xml:space="preserve"> </w:t>
      </w:r>
      <w:r w:rsidRPr="00A874C5">
        <w:rPr>
          <w:b/>
        </w:rPr>
        <w:t>workers</w:t>
      </w:r>
      <w:commentRangeEnd w:id="703"/>
      <w:r>
        <w:rPr>
          <w:rStyle w:val="CommentReference"/>
        </w:rPr>
        <w:commentReference w:id="703"/>
      </w:r>
    </w:p>
    <w:p w14:paraId="0000063F" w14:textId="77777777" w:rsidR="009F1887" w:rsidRDefault="009F1887">
      <w:pPr>
        <w:keepNext/>
        <w:spacing w:after="0" w:line="240" w:lineRule="auto"/>
        <w:jc w:val="both"/>
        <w:rPr>
          <w:rFonts w:ascii="Times New Roman" w:eastAsia="Times New Roman" w:hAnsi="Times New Roman" w:cs="Times New Roman"/>
          <w:b/>
        </w:rPr>
      </w:pPr>
    </w:p>
    <w:p w14:paraId="00000640" w14:textId="77777777" w:rsidR="009F1887" w:rsidRDefault="00790D5B">
      <w:pPr>
        <w:keepNext/>
        <w:numPr>
          <w:ilvl w:val="1"/>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Medical workers in health care facilities (HCF) and laboratories (i.e. doctors, nurses, laboratory workers, clinical trainees).</w:t>
      </w:r>
    </w:p>
    <w:p w14:paraId="00000641" w14:textId="77777777" w:rsidR="009F1887" w:rsidRDefault="00790D5B">
      <w:pPr>
        <w:keepNext/>
        <w:numPr>
          <w:ilvl w:val="1"/>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Non-medical workers in health care facilities (e.g. facility and maintenance staff engaged in food preparation, delivery, technical maintenance, waste management).  </w:t>
      </w:r>
    </w:p>
    <w:p w14:paraId="00000642" w14:textId="77777777" w:rsidR="009F1887" w:rsidRDefault="00790D5B">
      <w:pPr>
        <w:keepNext/>
        <w:numPr>
          <w:ilvl w:val="1"/>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Workers engaged by firms (contractors) to carry out small interiors repairs and installation works within HCF</w:t>
      </w:r>
    </w:p>
    <w:p w14:paraId="00000643" w14:textId="77777777" w:rsidR="009F1887" w:rsidRDefault="009F1887">
      <w:pPr>
        <w:keepNext/>
        <w:spacing w:after="0"/>
        <w:jc w:val="both"/>
        <w:rPr>
          <w:rFonts w:ascii="Times New Roman" w:eastAsia="Times New Roman" w:hAnsi="Times New Roman" w:cs="Times New Roman"/>
        </w:rPr>
      </w:pPr>
    </w:p>
    <w:p w14:paraId="00000644" w14:textId="77777777" w:rsidR="009F1887" w:rsidRDefault="009F1887">
      <w:pPr>
        <w:keepNext/>
        <w:spacing w:after="0"/>
        <w:jc w:val="both"/>
        <w:rPr>
          <w:rFonts w:ascii="Times New Roman" w:eastAsia="Times New Roman" w:hAnsi="Times New Roman" w:cs="Times New Roman"/>
        </w:rPr>
      </w:pPr>
    </w:p>
    <w:p w14:paraId="00000645" w14:textId="77777777" w:rsidR="009F1887" w:rsidRDefault="00790D5B">
      <w:pPr>
        <w:keepNext/>
        <w:spacing w:after="0" w:line="240" w:lineRule="auto"/>
        <w:jc w:val="both"/>
        <w:rPr>
          <w:rFonts w:ascii="Times New Roman" w:eastAsia="Times New Roman" w:hAnsi="Times New Roman" w:cs="Times New Roman"/>
        </w:rPr>
      </w:pPr>
      <w:r>
        <w:rPr>
          <w:rFonts w:ascii="Times New Roman" w:eastAsia="Times New Roman" w:hAnsi="Times New Roman" w:cs="Times New Roman"/>
          <w:i/>
        </w:rPr>
        <w:t xml:space="preserve">Health care facility workers: </w:t>
      </w:r>
      <w:r>
        <w:rPr>
          <w:rFonts w:ascii="Times New Roman" w:eastAsia="Times New Roman" w:hAnsi="Times New Roman" w:cs="Times New Roman"/>
        </w:rPr>
        <w:t>These are persons serving in healthcare settings, both medical and non-medical staff, who have the potential for direct or indirect</w:t>
      </w:r>
      <w:r>
        <w:rPr>
          <w:rFonts w:ascii="Times New Roman" w:eastAsia="Times New Roman" w:hAnsi="Times New Roman" w:cs="Times New Roman"/>
          <w:b/>
        </w:rPr>
        <w:t xml:space="preserve"> </w:t>
      </w:r>
      <w:r>
        <w:rPr>
          <w:rFonts w:ascii="Times New Roman" w:eastAsia="Times New Roman" w:hAnsi="Times New Roman" w:cs="Times New Roman"/>
        </w:rPr>
        <w:t xml:space="preserve">exposure to patients or their infectious secretions, and infectious materials. While HCF workers employed in hospitals and laboratories do not strictly fall under the ESS 2 definition of project workers, due to occupational health and safety risks to which they can be exposed during the COVID-19 pandemic, they will be included in the Labor Management Procedures (LMP) as contracted workers to ensure that they are provided with adequate health and safety measures at the workplace. </w:t>
      </w:r>
      <w:r>
        <w:rPr>
          <w:rFonts w:ascii="Times New Roman" w:eastAsia="Times New Roman" w:hAnsi="Times New Roman" w:cs="Times New Roman"/>
          <w:i/>
        </w:rPr>
        <w:t xml:space="preserve">Non-medical staff in HCF </w:t>
      </w:r>
      <w:r>
        <w:rPr>
          <w:rFonts w:ascii="Times New Roman" w:eastAsia="Times New Roman" w:hAnsi="Times New Roman" w:cs="Times New Roman"/>
        </w:rPr>
        <w:t>(in particular cleaning staff and workers dealing with medical waste) will be also included in the LMP to ensure that they are provided with safety and health in the workplace</w:t>
      </w:r>
    </w:p>
    <w:p w14:paraId="00000646" w14:textId="77777777" w:rsidR="009F1887" w:rsidRDefault="009F1887">
      <w:pPr>
        <w:keepNext/>
        <w:spacing w:after="0" w:line="240" w:lineRule="auto"/>
        <w:jc w:val="both"/>
        <w:rPr>
          <w:rFonts w:ascii="Times New Roman" w:eastAsia="Times New Roman" w:hAnsi="Times New Roman" w:cs="Times New Roman"/>
        </w:rPr>
      </w:pPr>
    </w:p>
    <w:p w14:paraId="00000647" w14:textId="77777777" w:rsidR="009F1887" w:rsidRDefault="00790D5B">
      <w:pPr>
        <w:keepNext/>
        <w:numPr>
          <w:ilvl w:val="1"/>
          <w:numId w:val="29"/>
        </w:numPr>
        <w:spacing w:after="0" w:line="240" w:lineRule="auto"/>
        <w:ind w:left="900" w:hanging="450"/>
        <w:jc w:val="both"/>
        <w:rPr>
          <w:rFonts w:ascii="Times New Roman" w:eastAsia="Times New Roman" w:hAnsi="Times New Roman" w:cs="Times New Roman"/>
          <w:b/>
        </w:rPr>
      </w:pPr>
      <w:r>
        <w:rPr>
          <w:rFonts w:ascii="Times New Roman" w:eastAsia="Times New Roman" w:hAnsi="Times New Roman" w:cs="Times New Roman"/>
          <w:b/>
        </w:rPr>
        <w:t xml:space="preserve">Primary supply workers </w:t>
      </w:r>
    </w:p>
    <w:p w14:paraId="00000648" w14:textId="77777777" w:rsidR="009F1887" w:rsidRDefault="00790D5B">
      <w:pPr>
        <w:keepNext/>
        <w:numPr>
          <w:ilvl w:val="1"/>
          <w:numId w:val="38"/>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Workers of companies involved in the provision of medical supplies, PPE, chemicals, reagents, disinfectants, etc.</w:t>
      </w:r>
    </w:p>
    <w:p w14:paraId="00000649"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project will directly source medical supplies essential for the project from primary suppliers. </w:t>
      </w:r>
    </w:p>
    <w:p w14:paraId="0000064A"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The table below provides data on the basis of preliminary assessment at the time of preparation of the draft ESMF. However, data in the table below shall be updated by the MoILHSA subsequently, after more precise data on three category of workers becomes known.</w:t>
      </w:r>
    </w:p>
    <w:p w14:paraId="0000064B" w14:textId="77777777" w:rsidR="009F1887" w:rsidRDefault="00EC15FD">
      <w:pPr>
        <w:keepNext/>
        <w:spacing w:before="120" w:after="120" w:line="240" w:lineRule="auto"/>
        <w:jc w:val="both"/>
        <w:rPr>
          <w:rFonts w:ascii="Times New Roman" w:eastAsia="Times New Roman" w:hAnsi="Times New Roman" w:cs="Times New Roman"/>
        </w:rPr>
      </w:pPr>
      <w:sdt>
        <w:sdtPr>
          <w:tag w:val="goog_rdk_436"/>
          <w:id w:val="-362203592"/>
        </w:sdtPr>
        <w:sdtContent>
          <w:ins w:id="704" w:author="Author" w:date="2020-07-15T05:14:00Z">
            <w:r w:rsidR="00790D5B">
              <w:rPr>
                <w:rFonts w:ascii="Times New Roman" w:eastAsia="Times New Roman" w:hAnsi="Times New Roman" w:cs="Times New Roman"/>
              </w:rPr>
              <w:t>Table 1</w:t>
            </w:r>
          </w:ins>
        </w:sdtContent>
      </w:sdt>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2"/>
        <w:gridCol w:w="1741"/>
        <w:gridCol w:w="2159"/>
        <w:gridCol w:w="2113"/>
        <w:gridCol w:w="1185"/>
      </w:tblGrid>
      <w:tr w:rsidR="009F1887" w14:paraId="4E65432D" w14:textId="77777777">
        <w:tc>
          <w:tcPr>
            <w:tcW w:w="2152" w:type="dxa"/>
            <w:shd w:val="clear" w:color="auto" w:fill="DBE5F1"/>
          </w:tcPr>
          <w:p w14:paraId="0000064C" w14:textId="77777777" w:rsidR="009F1887" w:rsidRDefault="00790D5B">
            <w:pPr>
              <w:keepNext/>
              <w:spacing w:after="0" w:line="259" w:lineRule="auto"/>
              <w:ind w:left="144" w:right="144"/>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Type of workers</w:t>
            </w:r>
          </w:p>
        </w:tc>
        <w:tc>
          <w:tcPr>
            <w:tcW w:w="1741" w:type="dxa"/>
            <w:shd w:val="clear" w:color="auto" w:fill="DBE5F1"/>
          </w:tcPr>
          <w:p w14:paraId="0000064D" w14:textId="77777777" w:rsidR="009F1887" w:rsidRDefault="00EC15FD">
            <w:pPr>
              <w:keepNext/>
              <w:spacing w:after="0" w:line="259" w:lineRule="auto"/>
              <w:ind w:left="144" w:right="144"/>
              <w:jc w:val="center"/>
              <w:rPr>
                <w:rFonts w:ascii="Times New Roman" w:eastAsia="Times New Roman" w:hAnsi="Times New Roman" w:cs="Times New Roman"/>
                <w:b/>
                <w:sz w:val="18"/>
                <w:szCs w:val="18"/>
              </w:rPr>
            </w:pPr>
            <w:sdt>
              <w:sdtPr>
                <w:tag w:val="goog_rdk_437"/>
                <w:id w:val="1109776027"/>
              </w:sdtPr>
              <w:sdtContent>
                <w:commentRangeStart w:id="705"/>
              </w:sdtContent>
            </w:sdt>
            <w:r w:rsidR="00790D5B">
              <w:rPr>
                <w:rFonts w:ascii="Times New Roman" w:eastAsia="Times New Roman" w:hAnsi="Times New Roman" w:cs="Times New Roman"/>
                <w:b/>
                <w:sz w:val="18"/>
                <w:szCs w:val="18"/>
              </w:rPr>
              <w:t>Number of project workers</w:t>
            </w:r>
            <w:commentRangeEnd w:id="705"/>
            <w:r w:rsidR="00790D5B">
              <w:commentReference w:id="705"/>
            </w:r>
          </w:p>
        </w:tc>
        <w:tc>
          <w:tcPr>
            <w:tcW w:w="2159" w:type="dxa"/>
            <w:shd w:val="clear" w:color="auto" w:fill="DBE5F1"/>
          </w:tcPr>
          <w:p w14:paraId="0000064E" w14:textId="77777777" w:rsidR="009F1887" w:rsidRDefault="00790D5B">
            <w:pPr>
              <w:keepNext/>
              <w:spacing w:after="0" w:line="259" w:lineRule="auto"/>
              <w:ind w:left="144" w:right="144"/>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Type of tasks</w:t>
            </w:r>
          </w:p>
        </w:tc>
        <w:tc>
          <w:tcPr>
            <w:tcW w:w="2113" w:type="dxa"/>
            <w:shd w:val="clear" w:color="auto" w:fill="DBE5F1"/>
          </w:tcPr>
          <w:p w14:paraId="0000064F" w14:textId="77777777" w:rsidR="009F1887" w:rsidRDefault="00790D5B">
            <w:pPr>
              <w:keepNext/>
              <w:spacing w:after="0" w:line="259" w:lineRule="auto"/>
              <w:ind w:left="144" w:right="144"/>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Necessary skills</w:t>
            </w:r>
          </w:p>
        </w:tc>
        <w:tc>
          <w:tcPr>
            <w:tcW w:w="1185" w:type="dxa"/>
            <w:shd w:val="clear" w:color="auto" w:fill="DBE5F1"/>
          </w:tcPr>
          <w:p w14:paraId="00000650" w14:textId="77777777" w:rsidR="009F1887" w:rsidRDefault="00EC15FD">
            <w:pPr>
              <w:keepNext/>
              <w:spacing w:after="0" w:line="259" w:lineRule="auto"/>
              <w:ind w:left="144" w:right="144"/>
              <w:jc w:val="center"/>
              <w:rPr>
                <w:rFonts w:ascii="Times New Roman" w:eastAsia="Times New Roman" w:hAnsi="Times New Roman" w:cs="Times New Roman"/>
                <w:b/>
                <w:sz w:val="18"/>
                <w:szCs w:val="18"/>
              </w:rPr>
            </w:pPr>
            <w:sdt>
              <w:sdtPr>
                <w:tag w:val="goog_rdk_438"/>
                <w:id w:val="-1702167649"/>
              </w:sdtPr>
              <w:sdtContent>
                <w:commentRangeStart w:id="706"/>
              </w:sdtContent>
            </w:sdt>
            <w:sdt>
              <w:sdtPr>
                <w:tag w:val="goog_rdk_439"/>
                <w:id w:val="1704047500"/>
              </w:sdtPr>
              <w:sdtContent>
                <w:commentRangeStart w:id="707"/>
              </w:sdtContent>
            </w:sdt>
            <w:r w:rsidR="00790D5B">
              <w:rPr>
                <w:rFonts w:ascii="Times New Roman" w:eastAsia="Times New Roman" w:hAnsi="Times New Roman" w:cs="Times New Roman"/>
                <w:b/>
                <w:sz w:val="18"/>
                <w:szCs w:val="18"/>
              </w:rPr>
              <w:t>Location</w:t>
            </w:r>
            <w:commentRangeEnd w:id="706"/>
            <w:r w:rsidR="00790D5B">
              <w:commentReference w:id="706"/>
            </w:r>
            <w:commentRangeEnd w:id="707"/>
            <w:r w:rsidR="00790D5B">
              <w:commentReference w:id="707"/>
            </w:r>
          </w:p>
        </w:tc>
      </w:tr>
      <w:tr w:rsidR="009F1887" w14:paraId="1DCEEAFE" w14:textId="77777777">
        <w:tc>
          <w:tcPr>
            <w:tcW w:w="9350" w:type="dxa"/>
            <w:gridSpan w:val="5"/>
            <w:shd w:val="clear" w:color="auto" w:fill="B8CCE4"/>
          </w:tcPr>
          <w:p w14:paraId="00000651" w14:textId="77777777" w:rsidR="009F1887" w:rsidRDefault="00790D5B">
            <w:pPr>
              <w:keepNext/>
              <w:tabs>
                <w:tab w:val="left" w:pos="3585"/>
              </w:tabs>
              <w:spacing w:after="0" w:line="259" w:lineRule="auto"/>
              <w:ind w:left="144" w:right="144"/>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Direct workers</w:t>
            </w:r>
            <w:r>
              <w:rPr>
                <w:rFonts w:ascii="Times New Roman" w:eastAsia="Times New Roman" w:hAnsi="Times New Roman" w:cs="Times New Roman"/>
                <w:b/>
                <w:sz w:val="18"/>
                <w:szCs w:val="18"/>
              </w:rPr>
              <w:tab/>
            </w:r>
          </w:p>
        </w:tc>
      </w:tr>
      <w:tr w:rsidR="009F1887" w14:paraId="2619DD5A" w14:textId="77777777">
        <w:tc>
          <w:tcPr>
            <w:tcW w:w="2152" w:type="dxa"/>
            <w:shd w:val="clear" w:color="auto" w:fill="auto"/>
          </w:tcPr>
          <w:p w14:paraId="00000656" w14:textId="77777777" w:rsidR="009F1887" w:rsidRDefault="00790D5B">
            <w:pPr>
              <w:keepNext/>
              <w:spacing w:after="0" w:line="259" w:lineRule="auto"/>
              <w:ind w:left="144" w:right="1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Civil servants</w:t>
            </w:r>
          </w:p>
        </w:tc>
        <w:tc>
          <w:tcPr>
            <w:tcW w:w="1741" w:type="dxa"/>
            <w:shd w:val="clear" w:color="auto" w:fill="auto"/>
          </w:tcPr>
          <w:p w14:paraId="00000657" w14:textId="77777777" w:rsidR="009F1887" w:rsidRDefault="009F1887">
            <w:pPr>
              <w:keepNext/>
              <w:spacing w:after="0" w:line="259" w:lineRule="auto"/>
              <w:ind w:left="144" w:right="144"/>
              <w:jc w:val="center"/>
              <w:rPr>
                <w:rFonts w:ascii="Times New Roman" w:eastAsia="Times New Roman" w:hAnsi="Times New Roman" w:cs="Times New Roman"/>
                <w:sz w:val="20"/>
                <w:szCs w:val="20"/>
              </w:rPr>
            </w:pPr>
          </w:p>
        </w:tc>
        <w:tc>
          <w:tcPr>
            <w:tcW w:w="2159" w:type="dxa"/>
            <w:shd w:val="clear" w:color="auto" w:fill="auto"/>
          </w:tcPr>
          <w:p w14:paraId="00000658"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Office and administrative tasks</w:t>
            </w:r>
          </w:p>
        </w:tc>
        <w:tc>
          <w:tcPr>
            <w:tcW w:w="2113" w:type="dxa"/>
            <w:shd w:val="clear" w:color="auto" w:fill="auto"/>
          </w:tcPr>
          <w:p w14:paraId="00000659"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Essential managerial skills</w:t>
            </w:r>
          </w:p>
        </w:tc>
        <w:tc>
          <w:tcPr>
            <w:tcW w:w="1185" w:type="dxa"/>
            <w:shd w:val="clear" w:color="auto" w:fill="auto"/>
          </w:tcPr>
          <w:p w14:paraId="0000065A"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Tbilisi </w:t>
            </w:r>
          </w:p>
        </w:tc>
      </w:tr>
      <w:tr w:rsidR="009F1887" w14:paraId="494D9FAF" w14:textId="77777777">
        <w:tc>
          <w:tcPr>
            <w:tcW w:w="9350" w:type="dxa"/>
            <w:gridSpan w:val="5"/>
            <w:shd w:val="clear" w:color="auto" w:fill="B8CCE4"/>
          </w:tcPr>
          <w:p w14:paraId="0000065B" w14:textId="77777777" w:rsidR="009F1887" w:rsidRDefault="00790D5B">
            <w:pPr>
              <w:keepNext/>
              <w:spacing w:after="0" w:line="259" w:lineRule="auto"/>
              <w:ind w:left="144" w:right="144"/>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Contracted workers</w:t>
            </w:r>
          </w:p>
        </w:tc>
      </w:tr>
      <w:tr w:rsidR="009F1887" w14:paraId="41F3DC2F" w14:textId="77777777">
        <w:tc>
          <w:tcPr>
            <w:tcW w:w="2152" w:type="dxa"/>
            <w:shd w:val="clear" w:color="auto" w:fill="auto"/>
          </w:tcPr>
          <w:p w14:paraId="00000660" w14:textId="77777777" w:rsidR="009F1887" w:rsidRDefault="00790D5B">
            <w:pPr>
              <w:keepNext/>
              <w:spacing w:after="0" w:line="259" w:lineRule="auto"/>
              <w:ind w:left="144" w:right="1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Health care/laboratory workers in health care facilities (medical staff)</w:t>
            </w:r>
          </w:p>
        </w:tc>
        <w:tc>
          <w:tcPr>
            <w:tcW w:w="1741" w:type="dxa"/>
            <w:shd w:val="clear" w:color="auto" w:fill="auto"/>
          </w:tcPr>
          <w:p w14:paraId="00000661"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approx. XXX out of which XX% directly working with COVID-19 patients</w:t>
            </w:r>
          </w:p>
          <w:p w14:paraId="00000662" w14:textId="77777777" w:rsidR="009F1887" w:rsidRDefault="009F1887">
            <w:pPr>
              <w:keepNext/>
              <w:spacing w:after="0" w:line="259" w:lineRule="auto"/>
              <w:ind w:left="144" w:right="144"/>
              <w:jc w:val="center"/>
              <w:rPr>
                <w:rFonts w:ascii="Times New Roman" w:eastAsia="Times New Roman" w:hAnsi="Times New Roman" w:cs="Times New Roman"/>
                <w:sz w:val="20"/>
                <w:szCs w:val="20"/>
              </w:rPr>
            </w:pPr>
          </w:p>
        </w:tc>
        <w:tc>
          <w:tcPr>
            <w:tcW w:w="2159" w:type="dxa"/>
            <w:shd w:val="clear" w:color="auto" w:fill="auto"/>
          </w:tcPr>
          <w:p w14:paraId="00000663"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medicine and wide variety of specialism</w:t>
            </w:r>
          </w:p>
          <w:p w14:paraId="00000664" w14:textId="77777777" w:rsidR="009F1887" w:rsidRDefault="009F1887">
            <w:pPr>
              <w:keepNext/>
              <w:spacing w:after="0" w:line="259" w:lineRule="auto"/>
              <w:ind w:left="144" w:right="144"/>
              <w:jc w:val="center"/>
              <w:rPr>
                <w:rFonts w:ascii="Times New Roman" w:eastAsia="Times New Roman" w:hAnsi="Times New Roman" w:cs="Times New Roman"/>
                <w:sz w:val="20"/>
                <w:szCs w:val="20"/>
              </w:rPr>
            </w:pPr>
          </w:p>
          <w:p w14:paraId="00000665"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Establishment of health procedures, guidelines</w:t>
            </w:r>
          </w:p>
        </w:tc>
        <w:tc>
          <w:tcPr>
            <w:tcW w:w="2113" w:type="dxa"/>
            <w:shd w:val="clear" w:color="auto" w:fill="auto"/>
          </w:tcPr>
          <w:p w14:paraId="00000666" w14:textId="77777777" w:rsidR="009F1887" w:rsidRDefault="00790D5B">
            <w:pPr>
              <w:keepNext/>
              <w:spacing w:before="12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knowledge, time management and organization, communication</w:t>
            </w:r>
          </w:p>
        </w:tc>
        <w:tc>
          <w:tcPr>
            <w:tcW w:w="1185" w:type="dxa"/>
            <w:shd w:val="clear" w:color="auto" w:fill="auto"/>
          </w:tcPr>
          <w:p w14:paraId="00000667" w14:textId="77777777" w:rsidR="009F1887" w:rsidRDefault="009F1887">
            <w:pPr>
              <w:keepNext/>
              <w:spacing w:after="0" w:line="259" w:lineRule="auto"/>
              <w:ind w:left="144" w:right="144"/>
              <w:jc w:val="center"/>
              <w:rPr>
                <w:rFonts w:ascii="Times New Roman" w:eastAsia="Times New Roman" w:hAnsi="Times New Roman" w:cs="Times New Roman"/>
                <w:sz w:val="20"/>
                <w:szCs w:val="20"/>
              </w:rPr>
            </w:pPr>
          </w:p>
        </w:tc>
      </w:tr>
      <w:tr w:rsidR="009F1887" w14:paraId="4352C839" w14:textId="77777777">
        <w:tc>
          <w:tcPr>
            <w:tcW w:w="2152" w:type="dxa"/>
            <w:shd w:val="clear" w:color="auto" w:fill="auto"/>
          </w:tcPr>
          <w:p w14:paraId="00000668" w14:textId="77777777" w:rsidR="009F1887" w:rsidRDefault="00790D5B">
            <w:pPr>
              <w:keepNext/>
              <w:spacing w:after="0" w:line="259" w:lineRule="auto"/>
              <w:ind w:left="144" w:right="1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Non-medical staff</w:t>
            </w:r>
          </w:p>
        </w:tc>
        <w:tc>
          <w:tcPr>
            <w:tcW w:w="1741" w:type="dxa"/>
            <w:shd w:val="clear" w:color="auto" w:fill="auto"/>
          </w:tcPr>
          <w:p w14:paraId="00000669" w14:textId="77777777" w:rsidR="009F1887" w:rsidRDefault="009F1887">
            <w:pPr>
              <w:keepNext/>
              <w:spacing w:after="0" w:line="259" w:lineRule="auto"/>
              <w:ind w:left="144" w:right="144"/>
              <w:jc w:val="center"/>
              <w:rPr>
                <w:rFonts w:ascii="Times New Roman" w:eastAsia="Times New Roman" w:hAnsi="Times New Roman" w:cs="Times New Roman"/>
                <w:sz w:val="20"/>
                <w:szCs w:val="20"/>
              </w:rPr>
            </w:pPr>
          </w:p>
        </w:tc>
        <w:tc>
          <w:tcPr>
            <w:tcW w:w="2159" w:type="dxa"/>
            <w:shd w:val="clear" w:color="auto" w:fill="auto"/>
          </w:tcPr>
          <w:p w14:paraId="0000066A" w14:textId="77777777" w:rsidR="009F1887" w:rsidRDefault="00790D5B">
            <w:pPr>
              <w:keepNext/>
              <w:spacing w:after="0" w:line="259" w:lineRule="auto"/>
              <w:ind w:left="144" w:right="1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Administrative tasks, cleaning, food supply, security services and waste</w:t>
            </w:r>
          </w:p>
        </w:tc>
        <w:tc>
          <w:tcPr>
            <w:tcW w:w="2113" w:type="dxa"/>
            <w:shd w:val="clear" w:color="auto" w:fill="auto"/>
          </w:tcPr>
          <w:p w14:paraId="0000066B" w14:textId="77777777" w:rsidR="009F1887" w:rsidRDefault="00790D5B">
            <w:pPr>
              <w:keepNext/>
              <w:spacing w:before="12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medical knowledge, time management and organization, general knowledge in medicine</w:t>
            </w:r>
          </w:p>
        </w:tc>
        <w:tc>
          <w:tcPr>
            <w:tcW w:w="1185" w:type="dxa"/>
            <w:shd w:val="clear" w:color="auto" w:fill="auto"/>
          </w:tcPr>
          <w:p w14:paraId="0000066C" w14:textId="77777777" w:rsidR="009F1887" w:rsidRDefault="009F1887">
            <w:pPr>
              <w:keepNext/>
              <w:spacing w:after="0" w:line="259" w:lineRule="auto"/>
              <w:ind w:left="144" w:right="144"/>
              <w:jc w:val="center"/>
              <w:rPr>
                <w:rFonts w:ascii="Times New Roman" w:eastAsia="Times New Roman" w:hAnsi="Times New Roman" w:cs="Times New Roman"/>
                <w:sz w:val="20"/>
                <w:szCs w:val="20"/>
              </w:rPr>
            </w:pPr>
          </w:p>
        </w:tc>
      </w:tr>
    </w:tbl>
    <w:p w14:paraId="0000066D" w14:textId="77777777" w:rsidR="009F1887" w:rsidRDefault="009F1887">
      <w:pPr>
        <w:keepNext/>
        <w:spacing w:before="120" w:after="120" w:line="259" w:lineRule="auto"/>
        <w:jc w:val="both"/>
        <w:rPr>
          <w:rFonts w:ascii="Times New Roman" w:eastAsia="Times New Roman" w:hAnsi="Times New Roman" w:cs="Times New Roman"/>
          <w:b/>
          <w:sz w:val="20"/>
          <w:szCs w:val="20"/>
          <w:u w:val="single"/>
        </w:rPr>
      </w:pPr>
    </w:p>
    <w:p w14:paraId="0000066E" w14:textId="49321850" w:rsidR="009F1887" w:rsidRDefault="00483E40">
      <w:pPr>
        <w:keepNext/>
        <w:tabs>
          <w:tab w:val="left" w:pos="493"/>
        </w:tabs>
        <w:spacing w:before="120" w:after="120" w:line="240" w:lineRule="auto"/>
        <w:jc w:val="both"/>
        <w:rPr>
          <w:rFonts w:ascii="Times New Roman" w:eastAsia="Times New Roman" w:hAnsi="Times New Roman" w:cs="Times New Roman"/>
        </w:rPr>
      </w:pPr>
      <w:commentRangeStart w:id="708"/>
      <w:r w:rsidRPr="006F64EB">
        <w:rPr>
          <w:rFonts w:eastAsia="Times New Roman"/>
        </w:rPr>
        <w:t xml:space="preserve">Taking into consideration that health care workers in </w:t>
      </w:r>
      <w:r>
        <w:rPr>
          <w:rFonts w:eastAsia="Times New Roman"/>
        </w:rPr>
        <w:t>Georgia</w:t>
      </w:r>
      <w:r w:rsidRPr="006F64EB">
        <w:rPr>
          <w:rFonts w:eastAsia="Times New Roman"/>
        </w:rPr>
        <w:t xml:space="preserve"> are predominantly female it is expected that the number of female workers will be in the r</w:t>
      </w:r>
      <w:r>
        <w:rPr>
          <w:rFonts w:eastAsia="Times New Roman"/>
        </w:rPr>
        <w:t>ange</w:t>
      </w:r>
      <w:r w:rsidRPr="006F64EB">
        <w:rPr>
          <w:rFonts w:eastAsia="Times New Roman"/>
        </w:rPr>
        <w:t xml:space="preserve"> of 50 percent of the workers. </w:t>
      </w:r>
      <w:r>
        <w:rPr>
          <w:rFonts w:eastAsia="Times New Roman"/>
        </w:rPr>
        <w:t xml:space="preserve">Female project </w:t>
      </w:r>
      <w:r w:rsidRPr="006F64EB">
        <w:rPr>
          <w:rFonts w:eastAsia="Times New Roman"/>
        </w:rPr>
        <w:t xml:space="preserve">workers will most likely be engaged as civil servants, </w:t>
      </w:r>
      <w:r>
        <w:rPr>
          <w:rFonts w:eastAsia="Times New Roman"/>
        </w:rPr>
        <w:t xml:space="preserve">medical and </w:t>
      </w:r>
      <w:r w:rsidRPr="006F64EB">
        <w:rPr>
          <w:rFonts w:eastAsia="Times New Roman"/>
        </w:rPr>
        <w:t xml:space="preserve">non-medical </w:t>
      </w:r>
      <w:r>
        <w:rPr>
          <w:rFonts w:eastAsia="Times New Roman"/>
        </w:rPr>
        <w:t>HCF workers</w:t>
      </w:r>
      <w:r w:rsidRPr="006F64EB">
        <w:rPr>
          <w:rFonts w:eastAsia="Times New Roman"/>
        </w:rPr>
        <w:t>,</w:t>
      </w:r>
      <w:r>
        <w:rPr>
          <w:rFonts w:eastAsia="Times New Roman"/>
        </w:rPr>
        <w:t xml:space="preserve">. </w:t>
      </w:r>
      <w:r w:rsidRPr="006F64EB">
        <w:rPr>
          <w:rFonts w:eastAsia="Times New Roman"/>
        </w:rPr>
        <w:t>It is expected that the majority of skilled and unskilled workers are likely to come from local communities</w:t>
      </w:r>
      <w:r>
        <w:rPr>
          <w:rFonts w:eastAsia="Times New Roman"/>
        </w:rPr>
        <w:t xml:space="preserve"> and will be from Georgia</w:t>
      </w:r>
      <w:commentRangeEnd w:id="708"/>
      <w:r>
        <w:rPr>
          <w:rStyle w:val="CommentReference"/>
        </w:rPr>
        <w:commentReference w:id="708"/>
      </w:r>
      <w:r w:rsidRPr="006F64EB">
        <w:rPr>
          <w:rFonts w:eastAsia="Times New Roman"/>
        </w:rPr>
        <w:t>.</w:t>
      </w:r>
      <w:r w:rsidR="00790D5B">
        <w:rPr>
          <w:rFonts w:ascii="Times New Roman" w:eastAsia="Times New Roman" w:hAnsi="Times New Roman" w:cs="Times New Roman"/>
        </w:rPr>
        <w:t>. The project is not expected to engage migrant workers. The project will engage persons of the age of 18 years and above.</w:t>
      </w:r>
    </w:p>
    <w:p w14:paraId="0000066F" w14:textId="77777777" w:rsidR="009F1887" w:rsidRDefault="009F1887">
      <w:pPr>
        <w:spacing w:after="0"/>
        <w:jc w:val="both"/>
        <w:rPr>
          <w:rFonts w:ascii="Times New Roman" w:eastAsia="Times New Roman" w:hAnsi="Times New Roman" w:cs="Times New Roman"/>
        </w:rPr>
      </w:pPr>
    </w:p>
    <w:p w14:paraId="00000670" w14:textId="77777777" w:rsidR="009F1887" w:rsidRDefault="00790D5B">
      <w:pPr>
        <w:pStyle w:val="Heading2"/>
        <w:numPr>
          <w:ilvl w:val="0"/>
          <w:numId w:val="65"/>
        </w:numPr>
        <w:spacing w:before="200" w:after="200"/>
        <w:ind w:left="426"/>
        <w:jc w:val="both"/>
      </w:pPr>
      <w:r>
        <w:t>ASSESSMENT OF KEY POTENTIAL LABOR RISKS</w:t>
      </w:r>
    </w:p>
    <w:p w14:paraId="00000672" w14:textId="509D9A2A" w:rsidR="009F1887" w:rsidRDefault="00790D5B" w:rsidP="00483E40">
      <w:pPr>
        <w:keepNext/>
        <w:tabs>
          <w:tab w:val="left" w:pos="2295"/>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rPr>
        <w:t>Key Labor Risks</w:t>
      </w:r>
      <w:r>
        <w:rPr>
          <w:rFonts w:ascii="Times New Roman" w:eastAsia="Times New Roman" w:hAnsi="Times New Roman" w:cs="Times New Roman"/>
          <w:b/>
        </w:rPr>
        <w:tab/>
      </w:r>
      <w:r>
        <w:rPr>
          <w:rFonts w:ascii="Times New Roman" w:eastAsia="Times New Roman" w:hAnsi="Times New Roman" w:cs="Times New Roman"/>
        </w:rPr>
        <w:t>It is assessed that key labor risks would be associated with occupational health and safety (OHS) and labor and working conditions in health care facilities. The following are key labor risks expected during the implementation of the project:</w:t>
      </w:r>
    </w:p>
    <w:p w14:paraId="00000673"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i/>
        </w:rPr>
        <w:t xml:space="preserve">Labor and occupational health and safety (OHS) risks associated with </w:t>
      </w:r>
      <w:r>
        <w:rPr>
          <w:rFonts w:ascii="Times New Roman" w:eastAsia="Times New Roman" w:hAnsi="Times New Roman" w:cs="Times New Roman"/>
          <w:b/>
          <w:i/>
        </w:rPr>
        <w:t>direct workers</w:t>
      </w:r>
      <w:r>
        <w:rPr>
          <w:rFonts w:ascii="Times New Roman" w:eastAsia="Times New Roman" w:hAnsi="Times New Roman" w:cs="Times New Roman"/>
        </w:rPr>
        <w:t xml:space="preserve">. It is anticipated that direct workers (PIU staff) within the framework of the project would perform office operations primarily, in addition to occasional site visits to health care facilities and nearby communities. Therefore, health and safety risks of these workers are estimated as low. The risk in relation to working conditions are generally low for civil servants and consultants engaged by the ministries. Risks such as excessive overtime hours, irregular wage payments, informal work are not expected.  </w:t>
      </w:r>
    </w:p>
    <w:p w14:paraId="00000674"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i/>
        </w:rPr>
        <w:t xml:space="preserve">Labor and OHS risks associated with </w:t>
      </w:r>
      <w:r>
        <w:rPr>
          <w:rFonts w:ascii="Times New Roman" w:eastAsia="Times New Roman" w:hAnsi="Times New Roman" w:cs="Times New Roman"/>
          <w:b/>
          <w:i/>
        </w:rPr>
        <w:t>contracted workers</w:t>
      </w: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medical staff</w:t>
      </w:r>
      <w:r>
        <w:rPr>
          <w:rFonts w:ascii="Times New Roman" w:eastAsia="Times New Roman" w:hAnsi="Times New Roman" w:cs="Times New Roman"/>
          <w:b/>
        </w:rPr>
        <w:t>).</w:t>
      </w:r>
      <w:r>
        <w:rPr>
          <w:rFonts w:ascii="Times New Roman" w:eastAsia="Times New Roman" w:hAnsi="Times New Roman" w:cs="Times New Roman"/>
        </w:rPr>
        <w:t xml:space="preserve"> The expected risks include: infectious disease caused by COVID-19 (illness and potential death), physical and mental exhaustion, occupational burnout, stigma and passing on infectious to families and local communities, long shifts with </w:t>
      </w:r>
      <w:r>
        <w:rPr>
          <w:rFonts w:ascii="Times New Roman" w:eastAsia="Times New Roman" w:hAnsi="Times New Roman" w:cs="Times New Roman"/>
        </w:rPr>
        <w:lastRenderedPageBreak/>
        <w:t xml:space="preserve">little or no break and sleep. It is expected that this category of workers would experience the following risk levels as given in the </w:t>
      </w:r>
      <w:r>
        <w:rPr>
          <w:rFonts w:ascii="Times New Roman" w:eastAsia="Times New Roman" w:hAnsi="Times New Roman" w:cs="Times New Roman"/>
          <w:i/>
        </w:rPr>
        <w:t>XX</w:t>
      </w:r>
      <w:r>
        <w:rPr>
          <w:rFonts w:ascii="Times New Roman" w:eastAsia="Times New Roman" w:hAnsi="Times New Roman" w:cs="Times New Roman"/>
        </w:rPr>
        <w:t>.</w:t>
      </w:r>
    </w:p>
    <w:p w14:paraId="00000675" w14:textId="77777777" w:rsidR="009F1887" w:rsidRDefault="00790D5B">
      <w:pPr>
        <w:keepNext/>
        <w:spacing w:before="120" w:after="120" w:line="259" w:lineRule="auto"/>
        <w:jc w:val="both"/>
        <w:rPr>
          <w:rFonts w:ascii="Times New Roman" w:eastAsia="Times New Roman" w:hAnsi="Times New Roman" w:cs="Times New Roman"/>
          <w:b/>
          <w:sz w:val="20"/>
          <w:szCs w:val="20"/>
        </w:rPr>
      </w:pPr>
      <w:bookmarkStart w:id="709" w:name="_heading=h.41mghml" w:colFirst="0" w:colLast="0"/>
      <w:bookmarkEnd w:id="709"/>
      <w:r>
        <w:rPr>
          <w:rFonts w:ascii="Times New Roman" w:eastAsia="Times New Roman" w:hAnsi="Times New Roman" w:cs="Times New Roman"/>
          <w:b/>
          <w:sz w:val="20"/>
          <w:szCs w:val="20"/>
        </w:rPr>
        <w:t>Table 2: Overview of risks associated with medical staff</w:t>
      </w:r>
    </w:p>
    <w:tbl>
      <w:tblPr>
        <w:tblStyle w:val="a9"/>
        <w:tblW w:w="48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1640"/>
      </w:tblGrid>
      <w:tr w:rsidR="009F1887" w14:paraId="044BC8A7" w14:textId="77777777">
        <w:tc>
          <w:tcPr>
            <w:tcW w:w="3207" w:type="dxa"/>
            <w:shd w:val="clear" w:color="auto" w:fill="DBE5F1"/>
            <w:vAlign w:val="center"/>
          </w:tcPr>
          <w:p w14:paraId="00000676" w14:textId="77777777" w:rsidR="009F1887" w:rsidRDefault="00790D5B">
            <w:pPr>
              <w:keepNext/>
              <w:spacing w:after="0" w:line="259" w:lineRule="auto"/>
              <w:ind w:left="144" w:right="144"/>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w:t>
            </w:r>
          </w:p>
        </w:tc>
        <w:tc>
          <w:tcPr>
            <w:tcW w:w="1640" w:type="dxa"/>
            <w:shd w:val="clear" w:color="auto" w:fill="DBE5F1"/>
          </w:tcPr>
          <w:p w14:paraId="00000677" w14:textId="77777777" w:rsidR="009F1887" w:rsidRDefault="00790D5B">
            <w:pPr>
              <w:keepNext/>
              <w:spacing w:after="0" w:line="259" w:lineRule="auto"/>
              <w:ind w:left="144" w:right="144"/>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 level</w:t>
            </w:r>
          </w:p>
        </w:tc>
      </w:tr>
      <w:tr w:rsidR="009F1887" w14:paraId="6A5D6CEE" w14:textId="77777777">
        <w:tc>
          <w:tcPr>
            <w:tcW w:w="3207" w:type="dxa"/>
            <w:shd w:val="clear" w:color="auto" w:fill="auto"/>
          </w:tcPr>
          <w:p w14:paraId="00000678"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Illness </w:t>
            </w:r>
          </w:p>
        </w:tc>
        <w:tc>
          <w:tcPr>
            <w:tcW w:w="1640" w:type="dxa"/>
            <w:shd w:val="clear" w:color="auto" w:fill="auto"/>
          </w:tcPr>
          <w:p w14:paraId="00000679"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9F1887" w14:paraId="1D28E47E" w14:textId="77777777">
        <w:tc>
          <w:tcPr>
            <w:tcW w:w="3207" w:type="dxa"/>
            <w:shd w:val="clear" w:color="auto" w:fill="auto"/>
          </w:tcPr>
          <w:p w14:paraId="0000067A"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Death</w:t>
            </w:r>
          </w:p>
        </w:tc>
        <w:tc>
          <w:tcPr>
            <w:tcW w:w="1640" w:type="dxa"/>
            <w:shd w:val="clear" w:color="auto" w:fill="auto"/>
          </w:tcPr>
          <w:p w14:paraId="0000067B"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substantial</w:t>
            </w:r>
          </w:p>
        </w:tc>
      </w:tr>
      <w:tr w:rsidR="009F1887" w14:paraId="44D27D2E" w14:textId="77777777">
        <w:tc>
          <w:tcPr>
            <w:tcW w:w="3207" w:type="dxa"/>
            <w:shd w:val="clear" w:color="auto" w:fill="auto"/>
          </w:tcPr>
          <w:p w14:paraId="0000067C"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Physical and mental exhaustion</w:t>
            </w:r>
          </w:p>
        </w:tc>
        <w:tc>
          <w:tcPr>
            <w:tcW w:w="1640" w:type="dxa"/>
            <w:shd w:val="clear" w:color="auto" w:fill="auto"/>
          </w:tcPr>
          <w:p w14:paraId="0000067D"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substantial</w:t>
            </w:r>
          </w:p>
        </w:tc>
      </w:tr>
      <w:tr w:rsidR="009F1887" w14:paraId="5A192B85" w14:textId="77777777">
        <w:tc>
          <w:tcPr>
            <w:tcW w:w="3207" w:type="dxa"/>
            <w:shd w:val="clear" w:color="auto" w:fill="auto"/>
          </w:tcPr>
          <w:p w14:paraId="0000067E"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Occupational burnout</w:t>
            </w:r>
          </w:p>
        </w:tc>
        <w:tc>
          <w:tcPr>
            <w:tcW w:w="1640" w:type="dxa"/>
            <w:shd w:val="clear" w:color="auto" w:fill="auto"/>
          </w:tcPr>
          <w:p w14:paraId="0000067F"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substantial</w:t>
            </w:r>
          </w:p>
        </w:tc>
      </w:tr>
      <w:tr w:rsidR="009F1887" w14:paraId="12A7770B" w14:textId="77777777">
        <w:tc>
          <w:tcPr>
            <w:tcW w:w="3207" w:type="dxa"/>
            <w:shd w:val="clear" w:color="auto" w:fill="auto"/>
          </w:tcPr>
          <w:p w14:paraId="00000680"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Stigma and passing on infectious to family and community</w:t>
            </w:r>
          </w:p>
        </w:tc>
        <w:tc>
          <w:tcPr>
            <w:tcW w:w="1640" w:type="dxa"/>
            <w:shd w:val="clear" w:color="auto" w:fill="auto"/>
          </w:tcPr>
          <w:p w14:paraId="00000681"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moderate</w:t>
            </w:r>
          </w:p>
        </w:tc>
      </w:tr>
      <w:tr w:rsidR="009F1887" w14:paraId="3D8E9FC9" w14:textId="77777777">
        <w:tc>
          <w:tcPr>
            <w:tcW w:w="3207" w:type="dxa"/>
            <w:shd w:val="clear" w:color="auto" w:fill="auto"/>
          </w:tcPr>
          <w:p w14:paraId="00000682"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Long shifts</w:t>
            </w:r>
          </w:p>
        </w:tc>
        <w:tc>
          <w:tcPr>
            <w:tcW w:w="1640" w:type="dxa"/>
            <w:shd w:val="clear" w:color="auto" w:fill="auto"/>
          </w:tcPr>
          <w:p w14:paraId="00000683"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moderate</w:t>
            </w:r>
          </w:p>
        </w:tc>
      </w:tr>
    </w:tbl>
    <w:p w14:paraId="00000684"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i/>
        </w:rPr>
        <w:t xml:space="preserve"> OHS risks associated with </w:t>
      </w:r>
      <w:r>
        <w:rPr>
          <w:rFonts w:ascii="Times New Roman" w:eastAsia="Times New Roman" w:hAnsi="Times New Roman" w:cs="Times New Roman"/>
          <w:b/>
          <w:i/>
        </w:rPr>
        <w:t>contracted workers</w:t>
      </w: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non-medical staff</w:t>
      </w:r>
      <w:r>
        <w:rPr>
          <w:rFonts w:ascii="Times New Roman" w:eastAsia="Times New Roman" w:hAnsi="Times New Roman" w:cs="Times New Roman"/>
          <w:b/>
        </w:rPr>
        <w:t xml:space="preserve">). </w:t>
      </w:r>
      <w:r>
        <w:rPr>
          <w:rFonts w:ascii="Times New Roman" w:eastAsia="Times New Roman" w:hAnsi="Times New Roman" w:cs="Times New Roman"/>
        </w:rPr>
        <w:t xml:space="preserve">It is expected that this category of workers will be exposed to OHS hazards, but not all non-medical staff will be exposed to the same risk levels. An overview of expected risks and risk level for this category of workers is shown in the </w:t>
      </w:r>
      <w:r>
        <w:rPr>
          <w:rFonts w:ascii="Times New Roman" w:eastAsia="Times New Roman" w:hAnsi="Times New Roman" w:cs="Times New Roman"/>
          <w:i/>
        </w:rPr>
        <w:t>Table 3.</w:t>
      </w:r>
    </w:p>
    <w:p w14:paraId="00000685" w14:textId="77777777" w:rsidR="009F1887" w:rsidRDefault="00790D5B">
      <w:pPr>
        <w:keepNext/>
        <w:spacing w:before="120" w:after="120" w:line="259" w:lineRule="auto"/>
        <w:jc w:val="both"/>
        <w:rPr>
          <w:rFonts w:ascii="Times New Roman" w:eastAsia="Times New Roman" w:hAnsi="Times New Roman" w:cs="Times New Roman"/>
          <w:b/>
          <w:sz w:val="20"/>
          <w:szCs w:val="20"/>
        </w:rPr>
      </w:pPr>
      <w:bookmarkStart w:id="710" w:name="_heading=h.2grqrue" w:colFirst="0" w:colLast="0"/>
      <w:bookmarkEnd w:id="710"/>
      <w:r>
        <w:rPr>
          <w:rFonts w:ascii="Times New Roman" w:eastAsia="Times New Roman" w:hAnsi="Times New Roman" w:cs="Times New Roman"/>
          <w:b/>
          <w:sz w:val="20"/>
          <w:szCs w:val="20"/>
        </w:rPr>
        <w:t>Table 3: Overview of risks associated with non-medical staff</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1164"/>
        <w:gridCol w:w="1164"/>
        <w:gridCol w:w="1164"/>
        <w:gridCol w:w="1075"/>
        <w:gridCol w:w="1075"/>
        <w:gridCol w:w="1075"/>
        <w:gridCol w:w="1191"/>
      </w:tblGrid>
      <w:tr w:rsidR="009F1887" w14:paraId="2394C41A" w14:textId="77777777">
        <w:tc>
          <w:tcPr>
            <w:tcW w:w="1442" w:type="dxa"/>
            <w:vMerge w:val="restart"/>
            <w:shd w:val="clear" w:color="auto" w:fill="DBE5F1"/>
            <w:vAlign w:val="center"/>
          </w:tcPr>
          <w:p w14:paraId="00000686" w14:textId="77777777" w:rsidR="009F1887" w:rsidRDefault="00790D5B">
            <w:pPr>
              <w:keepNext/>
              <w:spacing w:after="0" w:line="259" w:lineRule="auto"/>
              <w:ind w:left="90" w:right="144"/>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Non-medical workers</w:t>
            </w:r>
          </w:p>
        </w:tc>
        <w:tc>
          <w:tcPr>
            <w:tcW w:w="7908" w:type="dxa"/>
            <w:gridSpan w:val="7"/>
            <w:shd w:val="clear" w:color="auto" w:fill="DBE5F1"/>
            <w:vAlign w:val="center"/>
          </w:tcPr>
          <w:p w14:paraId="00000687" w14:textId="77777777" w:rsidR="009F1887" w:rsidRDefault="00790D5B">
            <w:pPr>
              <w:keepNext/>
              <w:spacing w:after="0" w:line="259" w:lineRule="auto"/>
              <w:ind w:left="144" w:right="144"/>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w:t>
            </w:r>
          </w:p>
        </w:tc>
      </w:tr>
      <w:tr w:rsidR="009F1887" w14:paraId="1D33EA5F" w14:textId="77777777">
        <w:tc>
          <w:tcPr>
            <w:tcW w:w="1442" w:type="dxa"/>
            <w:vMerge/>
            <w:shd w:val="clear" w:color="auto" w:fill="DBE5F1"/>
            <w:vAlign w:val="center"/>
          </w:tcPr>
          <w:p w14:paraId="0000068E" w14:textId="77777777" w:rsidR="009F1887" w:rsidRDefault="009F1887">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164" w:type="dxa"/>
            <w:shd w:val="clear" w:color="auto" w:fill="DBE5F1"/>
            <w:vAlign w:val="center"/>
          </w:tcPr>
          <w:p w14:paraId="0000068F" w14:textId="77777777" w:rsidR="009F1887" w:rsidRDefault="00790D5B">
            <w:pPr>
              <w:keepNext/>
              <w:spacing w:after="0" w:line="259" w:lineRule="auto"/>
              <w:ind w:left="144" w:right="144" w:hanging="175"/>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Illness</w:t>
            </w:r>
          </w:p>
        </w:tc>
        <w:tc>
          <w:tcPr>
            <w:tcW w:w="1164" w:type="dxa"/>
            <w:shd w:val="clear" w:color="auto" w:fill="DBE5F1"/>
            <w:vAlign w:val="center"/>
          </w:tcPr>
          <w:p w14:paraId="00000690" w14:textId="77777777" w:rsidR="009F1887" w:rsidRDefault="00790D5B">
            <w:pPr>
              <w:keepNext/>
              <w:spacing w:after="0" w:line="259" w:lineRule="auto"/>
              <w:ind w:left="144" w:right="144" w:hanging="175"/>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Death</w:t>
            </w:r>
          </w:p>
        </w:tc>
        <w:tc>
          <w:tcPr>
            <w:tcW w:w="1164" w:type="dxa"/>
            <w:shd w:val="clear" w:color="auto" w:fill="DBE5F1"/>
            <w:vAlign w:val="center"/>
          </w:tcPr>
          <w:p w14:paraId="00000691" w14:textId="77777777" w:rsidR="009F1887" w:rsidRDefault="00790D5B">
            <w:pPr>
              <w:keepNext/>
              <w:spacing w:after="0" w:line="259" w:lineRule="auto"/>
              <w:ind w:left="-31" w:right="144"/>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Physical exhaustion</w:t>
            </w:r>
          </w:p>
        </w:tc>
        <w:tc>
          <w:tcPr>
            <w:tcW w:w="1075" w:type="dxa"/>
            <w:shd w:val="clear" w:color="auto" w:fill="DBE5F1"/>
            <w:vAlign w:val="center"/>
          </w:tcPr>
          <w:p w14:paraId="00000692" w14:textId="77777777" w:rsidR="009F1887" w:rsidRDefault="00790D5B">
            <w:pPr>
              <w:keepNext/>
              <w:spacing w:after="0" w:line="259" w:lineRule="auto"/>
              <w:ind w:left="-31" w:right="144"/>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exhaustion</w:t>
            </w:r>
          </w:p>
        </w:tc>
        <w:tc>
          <w:tcPr>
            <w:tcW w:w="1075" w:type="dxa"/>
            <w:shd w:val="clear" w:color="auto" w:fill="DBE5F1"/>
            <w:vAlign w:val="center"/>
          </w:tcPr>
          <w:p w14:paraId="00000693" w14:textId="77777777" w:rsidR="009F1887" w:rsidRDefault="00790D5B">
            <w:pPr>
              <w:keepNext/>
              <w:spacing w:after="0" w:line="259" w:lineRule="auto"/>
              <w:ind w:left="144" w:right="144" w:hanging="143"/>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Stigma</w:t>
            </w:r>
          </w:p>
        </w:tc>
        <w:tc>
          <w:tcPr>
            <w:tcW w:w="1075" w:type="dxa"/>
            <w:shd w:val="clear" w:color="auto" w:fill="DBE5F1"/>
            <w:vAlign w:val="center"/>
          </w:tcPr>
          <w:p w14:paraId="00000694" w14:textId="77777777" w:rsidR="009F1887" w:rsidRDefault="00790D5B">
            <w:pPr>
              <w:keepNext/>
              <w:spacing w:after="0" w:line="259" w:lineRule="auto"/>
              <w:ind w:left="-31" w:right="144"/>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Long shifts</w:t>
            </w:r>
          </w:p>
        </w:tc>
        <w:tc>
          <w:tcPr>
            <w:tcW w:w="1191" w:type="dxa"/>
            <w:shd w:val="clear" w:color="auto" w:fill="DBE5F1"/>
            <w:vAlign w:val="center"/>
          </w:tcPr>
          <w:p w14:paraId="00000695" w14:textId="77777777" w:rsidR="009F1887" w:rsidRDefault="00790D5B">
            <w:pPr>
              <w:keepNext/>
              <w:spacing w:after="0" w:line="259" w:lineRule="auto"/>
              <w:ind w:left="1" w:right="144" w:firstLine="21"/>
              <w:rPr>
                <w:rFonts w:ascii="Times New Roman" w:eastAsia="Times New Roman" w:hAnsi="Times New Roman" w:cs="Times New Roman"/>
                <w:b/>
                <w:sz w:val="16"/>
                <w:szCs w:val="16"/>
              </w:rPr>
            </w:pPr>
            <w:r>
              <w:rPr>
                <w:rFonts w:ascii="Times New Roman" w:eastAsia="Times New Roman" w:hAnsi="Times New Roman" w:cs="Times New Roman"/>
                <w:b/>
                <w:sz w:val="16"/>
                <w:szCs w:val="16"/>
              </w:rPr>
              <w:t>Exposure to infectious waste</w:t>
            </w:r>
          </w:p>
        </w:tc>
      </w:tr>
      <w:tr w:rsidR="009F1887" w14:paraId="6BB2F894" w14:textId="77777777">
        <w:tc>
          <w:tcPr>
            <w:tcW w:w="1442" w:type="dxa"/>
          </w:tcPr>
          <w:p w14:paraId="00000696"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Administrative staff</w:t>
            </w:r>
          </w:p>
          <w:p w14:paraId="00000697" w14:textId="77777777" w:rsidR="009F1887" w:rsidRDefault="00790D5B">
            <w:pPr>
              <w:keepNext/>
              <w:spacing w:after="0" w:line="259" w:lineRule="auto"/>
              <w:ind w:left="144" w:right="144"/>
              <w:jc w:val="both"/>
              <w:rPr>
                <w:rFonts w:ascii="Times New Roman" w:eastAsia="Times New Roman" w:hAnsi="Times New Roman" w:cs="Times New Roman"/>
                <w:i/>
                <w:sz w:val="18"/>
                <w:szCs w:val="18"/>
              </w:rPr>
            </w:pPr>
            <w:r>
              <w:rPr>
                <w:rFonts w:ascii="Times New Roman" w:eastAsia="Times New Roman" w:hAnsi="Times New Roman" w:cs="Times New Roman"/>
                <w:i/>
                <w:color w:val="365F91"/>
                <w:sz w:val="18"/>
                <w:szCs w:val="18"/>
              </w:rPr>
              <w:t>Risk level</w:t>
            </w:r>
          </w:p>
        </w:tc>
        <w:tc>
          <w:tcPr>
            <w:tcW w:w="1164" w:type="dxa"/>
            <w:shd w:val="clear" w:color="auto" w:fill="auto"/>
          </w:tcPr>
          <w:p w14:paraId="00000698"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99"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9A"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64" w:type="dxa"/>
            <w:shd w:val="clear" w:color="auto" w:fill="auto"/>
          </w:tcPr>
          <w:p w14:paraId="0000069B"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9C"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9D"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64" w:type="dxa"/>
            <w:shd w:val="clear" w:color="auto" w:fill="auto"/>
          </w:tcPr>
          <w:p w14:paraId="0000069E"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9F"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A0"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A1"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A2"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A3"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A4"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A5"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A6"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A7"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A8"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A9"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91" w:type="dxa"/>
          </w:tcPr>
          <w:p w14:paraId="000006AA"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AB"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AC"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r>
      <w:tr w:rsidR="009F1887" w14:paraId="4BF73D33" w14:textId="77777777">
        <w:tc>
          <w:tcPr>
            <w:tcW w:w="1442" w:type="dxa"/>
          </w:tcPr>
          <w:p w14:paraId="000006AD"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Cleaning workers</w:t>
            </w:r>
          </w:p>
          <w:p w14:paraId="000006AE" w14:textId="77777777" w:rsidR="009F1887" w:rsidRDefault="00790D5B">
            <w:pPr>
              <w:keepNext/>
              <w:spacing w:after="0" w:line="259" w:lineRule="auto"/>
              <w:ind w:left="144" w:right="144"/>
              <w:jc w:val="both"/>
              <w:rPr>
                <w:rFonts w:ascii="Times New Roman" w:eastAsia="Times New Roman" w:hAnsi="Times New Roman" w:cs="Times New Roman"/>
                <w:i/>
                <w:sz w:val="18"/>
                <w:szCs w:val="18"/>
              </w:rPr>
            </w:pPr>
            <w:r>
              <w:rPr>
                <w:rFonts w:ascii="Times New Roman" w:eastAsia="Times New Roman" w:hAnsi="Times New Roman" w:cs="Times New Roman"/>
                <w:i/>
                <w:color w:val="365F91"/>
                <w:sz w:val="18"/>
                <w:szCs w:val="18"/>
              </w:rPr>
              <w:t>Risk level</w:t>
            </w:r>
          </w:p>
        </w:tc>
        <w:tc>
          <w:tcPr>
            <w:tcW w:w="1164" w:type="dxa"/>
            <w:shd w:val="clear" w:color="auto" w:fill="auto"/>
          </w:tcPr>
          <w:p w14:paraId="000006AF"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0"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1"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substantial</w:t>
            </w:r>
          </w:p>
        </w:tc>
        <w:tc>
          <w:tcPr>
            <w:tcW w:w="1164" w:type="dxa"/>
            <w:shd w:val="clear" w:color="auto" w:fill="auto"/>
          </w:tcPr>
          <w:p w14:paraId="000006B2"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3"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4"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substantial</w:t>
            </w:r>
          </w:p>
        </w:tc>
        <w:tc>
          <w:tcPr>
            <w:tcW w:w="1164" w:type="dxa"/>
            <w:shd w:val="clear" w:color="auto" w:fill="auto"/>
          </w:tcPr>
          <w:p w14:paraId="000006B5"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6"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7"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substantial</w:t>
            </w:r>
          </w:p>
        </w:tc>
        <w:tc>
          <w:tcPr>
            <w:tcW w:w="1075" w:type="dxa"/>
            <w:shd w:val="clear" w:color="auto" w:fill="auto"/>
          </w:tcPr>
          <w:p w14:paraId="000006B8"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9"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A"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moderate</w:t>
            </w:r>
          </w:p>
        </w:tc>
        <w:tc>
          <w:tcPr>
            <w:tcW w:w="1075" w:type="dxa"/>
            <w:shd w:val="clear" w:color="auto" w:fill="auto"/>
          </w:tcPr>
          <w:p w14:paraId="000006BB"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C"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D"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moderate</w:t>
            </w:r>
          </w:p>
        </w:tc>
        <w:tc>
          <w:tcPr>
            <w:tcW w:w="1075" w:type="dxa"/>
            <w:shd w:val="clear" w:color="auto" w:fill="auto"/>
          </w:tcPr>
          <w:p w14:paraId="000006BE"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BF"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0"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moderate</w:t>
            </w:r>
          </w:p>
        </w:tc>
        <w:tc>
          <w:tcPr>
            <w:tcW w:w="1191" w:type="dxa"/>
          </w:tcPr>
          <w:p w14:paraId="000006C1"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2"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3"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Substantial</w:t>
            </w:r>
          </w:p>
        </w:tc>
      </w:tr>
      <w:tr w:rsidR="009F1887" w14:paraId="66F3BC0B" w14:textId="77777777">
        <w:tc>
          <w:tcPr>
            <w:tcW w:w="1442" w:type="dxa"/>
          </w:tcPr>
          <w:p w14:paraId="000006C4"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Food preparation </w:t>
            </w:r>
          </w:p>
          <w:p w14:paraId="000006C5"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and delivery</w:t>
            </w:r>
          </w:p>
          <w:p w14:paraId="000006C6" w14:textId="77777777" w:rsidR="009F1887" w:rsidRDefault="00790D5B">
            <w:pPr>
              <w:keepNext/>
              <w:spacing w:after="0" w:line="259" w:lineRule="auto"/>
              <w:ind w:left="144" w:right="144"/>
              <w:jc w:val="both"/>
              <w:rPr>
                <w:rFonts w:ascii="Times New Roman" w:eastAsia="Times New Roman" w:hAnsi="Times New Roman" w:cs="Times New Roman"/>
                <w:i/>
                <w:sz w:val="18"/>
                <w:szCs w:val="18"/>
              </w:rPr>
            </w:pPr>
            <w:r>
              <w:rPr>
                <w:rFonts w:ascii="Times New Roman" w:eastAsia="Times New Roman" w:hAnsi="Times New Roman" w:cs="Times New Roman"/>
                <w:i/>
                <w:color w:val="365F91"/>
                <w:sz w:val="18"/>
                <w:szCs w:val="18"/>
              </w:rPr>
              <w:t>Risk level</w:t>
            </w:r>
          </w:p>
        </w:tc>
        <w:tc>
          <w:tcPr>
            <w:tcW w:w="1164" w:type="dxa"/>
            <w:shd w:val="clear" w:color="auto" w:fill="auto"/>
          </w:tcPr>
          <w:p w14:paraId="000006C7"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8"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9"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A"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64" w:type="dxa"/>
            <w:shd w:val="clear" w:color="auto" w:fill="auto"/>
          </w:tcPr>
          <w:p w14:paraId="000006CB"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C"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D"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CE" w14:textId="77777777" w:rsidR="009F1887" w:rsidRDefault="00790D5B">
            <w:pPr>
              <w:keepNext/>
              <w:spacing w:after="0" w:line="259" w:lineRule="auto"/>
              <w:ind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64" w:type="dxa"/>
            <w:shd w:val="clear" w:color="auto" w:fill="auto"/>
          </w:tcPr>
          <w:p w14:paraId="000006CF"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0"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1"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2"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D3"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4"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5"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6"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D7"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8"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9"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A"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DB"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C"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D"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DE"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91" w:type="dxa"/>
          </w:tcPr>
          <w:p w14:paraId="000006DF"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0"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1"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2"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r>
      <w:tr w:rsidR="009F1887" w14:paraId="2F81EF21" w14:textId="77777777">
        <w:tc>
          <w:tcPr>
            <w:tcW w:w="1442" w:type="dxa"/>
          </w:tcPr>
          <w:p w14:paraId="000006E3"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Security services</w:t>
            </w:r>
          </w:p>
          <w:p w14:paraId="000006E4" w14:textId="77777777" w:rsidR="009F1887" w:rsidRDefault="00790D5B">
            <w:pPr>
              <w:keepNext/>
              <w:spacing w:after="0" w:line="259" w:lineRule="auto"/>
              <w:ind w:left="144" w:right="144"/>
              <w:jc w:val="both"/>
              <w:rPr>
                <w:rFonts w:ascii="Times New Roman" w:eastAsia="Times New Roman" w:hAnsi="Times New Roman" w:cs="Times New Roman"/>
                <w:i/>
                <w:sz w:val="18"/>
                <w:szCs w:val="18"/>
              </w:rPr>
            </w:pPr>
            <w:r>
              <w:rPr>
                <w:rFonts w:ascii="Times New Roman" w:eastAsia="Times New Roman" w:hAnsi="Times New Roman" w:cs="Times New Roman"/>
                <w:i/>
                <w:color w:val="365F91"/>
                <w:sz w:val="18"/>
                <w:szCs w:val="18"/>
              </w:rPr>
              <w:t>Risk level</w:t>
            </w:r>
          </w:p>
        </w:tc>
        <w:tc>
          <w:tcPr>
            <w:tcW w:w="1164" w:type="dxa"/>
            <w:shd w:val="clear" w:color="auto" w:fill="auto"/>
          </w:tcPr>
          <w:p w14:paraId="000006E5"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6"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7"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64" w:type="dxa"/>
            <w:shd w:val="clear" w:color="auto" w:fill="auto"/>
          </w:tcPr>
          <w:p w14:paraId="000006E8"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9"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A"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64" w:type="dxa"/>
            <w:shd w:val="clear" w:color="auto" w:fill="auto"/>
          </w:tcPr>
          <w:p w14:paraId="000006EB"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C"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D"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EE"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EF"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0"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tcPr>
          <w:p w14:paraId="000006F1"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2"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3"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vAlign w:val="center"/>
          </w:tcPr>
          <w:p w14:paraId="000006F4"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5"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6"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191" w:type="dxa"/>
          </w:tcPr>
          <w:p w14:paraId="000006F7"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8"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6F9"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r>
      <w:tr w:rsidR="009F1887" w14:paraId="26BF8581" w14:textId="77777777">
        <w:tc>
          <w:tcPr>
            <w:tcW w:w="1442" w:type="dxa"/>
          </w:tcPr>
          <w:p w14:paraId="000006FA" w14:textId="77777777" w:rsidR="009F1887" w:rsidRDefault="00790D5B">
            <w:pPr>
              <w:keepNext/>
              <w:spacing w:after="0" w:line="259" w:lineRule="auto"/>
              <w:ind w:left="144" w:right="14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Waste workers</w:t>
            </w:r>
          </w:p>
          <w:p w14:paraId="000006FB" w14:textId="77777777" w:rsidR="009F1887" w:rsidRDefault="00790D5B">
            <w:pPr>
              <w:keepNext/>
              <w:spacing w:after="0" w:line="259" w:lineRule="auto"/>
              <w:ind w:left="144" w:right="144"/>
              <w:jc w:val="both"/>
              <w:rPr>
                <w:rFonts w:ascii="Times New Roman" w:eastAsia="Times New Roman" w:hAnsi="Times New Roman" w:cs="Times New Roman"/>
                <w:i/>
                <w:sz w:val="18"/>
                <w:szCs w:val="18"/>
              </w:rPr>
            </w:pPr>
            <w:r>
              <w:rPr>
                <w:rFonts w:ascii="Times New Roman" w:eastAsia="Times New Roman" w:hAnsi="Times New Roman" w:cs="Times New Roman"/>
                <w:i/>
                <w:color w:val="365F91"/>
                <w:sz w:val="18"/>
                <w:szCs w:val="18"/>
              </w:rPr>
              <w:t>Risk level</w:t>
            </w:r>
          </w:p>
        </w:tc>
        <w:tc>
          <w:tcPr>
            <w:tcW w:w="1164" w:type="dxa"/>
            <w:shd w:val="clear" w:color="auto" w:fill="auto"/>
            <w:vAlign w:val="bottom"/>
          </w:tcPr>
          <w:p w14:paraId="000006FC"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FD"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color w:val="365F91"/>
                <w:sz w:val="18"/>
                <w:szCs w:val="18"/>
              </w:rPr>
              <w:t>substantial</w:t>
            </w:r>
          </w:p>
        </w:tc>
        <w:tc>
          <w:tcPr>
            <w:tcW w:w="1164" w:type="dxa"/>
            <w:shd w:val="clear" w:color="auto" w:fill="auto"/>
            <w:vAlign w:val="bottom"/>
          </w:tcPr>
          <w:p w14:paraId="000006FE"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6FF"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color w:val="365F91"/>
                <w:sz w:val="18"/>
                <w:szCs w:val="18"/>
              </w:rPr>
              <w:t>substantial</w:t>
            </w:r>
          </w:p>
        </w:tc>
        <w:tc>
          <w:tcPr>
            <w:tcW w:w="1164" w:type="dxa"/>
            <w:shd w:val="clear" w:color="auto" w:fill="auto"/>
            <w:vAlign w:val="bottom"/>
          </w:tcPr>
          <w:p w14:paraId="00000700"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701"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color w:val="365F91"/>
                <w:sz w:val="18"/>
                <w:szCs w:val="18"/>
              </w:rPr>
              <w:t>low</w:t>
            </w:r>
          </w:p>
        </w:tc>
        <w:tc>
          <w:tcPr>
            <w:tcW w:w="1075" w:type="dxa"/>
            <w:shd w:val="clear" w:color="auto" w:fill="auto"/>
            <w:vAlign w:val="bottom"/>
          </w:tcPr>
          <w:p w14:paraId="00000702"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703"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color w:val="365F91"/>
                <w:sz w:val="18"/>
                <w:szCs w:val="18"/>
              </w:rPr>
              <w:t>low</w:t>
            </w:r>
          </w:p>
        </w:tc>
        <w:tc>
          <w:tcPr>
            <w:tcW w:w="1075" w:type="dxa"/>
            <w:shd w:val="clear" w:color="auto" w:fill="auto"/>
            <w:vAlign w:val="bottom"/>
          </w:tcPr>
          <w:p w14:paraId="00000704" w14:textId="77777777" w:rsidR="009F1887" w:rsidRDefault="009F1887">
            <w:pPr>
              <w:keepNext/>
              <w:spacing w:after="0" w:line="259" w:lineRule="auto"/>
              <w:ind w:left="144" w:right="144"/>
              <w:jc w:val="center"/>
              <w:rPr>
                <w:rFonts w:ascii="Times New Roman" w:eastAsia="Times New Roman" w:hAnsi="Times New Roman" w:cs="Times New Roman"/>
                <w:color w:val="365F91"/>
                <w:sz w:val="18"/>
                <w:szCs w:val="18"/>
              </w:rPr>
            </w:pPr>
          </w:p>
          <w:p w14:paraId="00000705" w14:textId="77777777" w:rsidR="009F1887" w:rsidRDefault="00790D5B">
            <w:pPr>
              <w:keepNext/>
              <w:spacing w:after="0" w:line="259" w:lineRule="auto"/>
              <w:ind w:left="144" w:right="144"/>
              <w:jc w:val="center"/>
              <w:rPr>
                <w:rFonts w:ascii="Times New Roman" w:eastAsia="Times New Roman" w:hAnsi="Times New Roman" w:cs="Times New Roman"/>
                <w:color w:val="365F91"/>
                <w:sz w:val="18"/>
                <w:szCs w:val="18"/>
              </w:rPr>
            </w:pPr>
            <w:r>
              <w:rPr>
                <w:rFonts w:ascii="Times New Roman" w:eastAsia="Times New Roman" w:hAnsi="Times New Roman" w:cs="Times New Roman"/>
                <w:color w:val="365F91"/>
                <w:sz w:val="18"/>
                <w:szCs w:val="18"/>
              </w:rPr>
              <w:t>low</w:t>
            </w:r>
          </w:p>
        </w:tc>
        <w:tc>
          <w:tcPr>
            <w:tcW w:w="1075" w:type="dxa"/>
            <w:shd w:val="clear" w:color="auto" w:fill="auto"/>
            <w:vAlign w:val="bottom"/>
          </w:tcPr>
          <w:p w14:paraId="00000706"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707" w14:textId="77777777" w:rsidR="009F1887" w:rsidRDefault="00790D5B">
            <w:pPr>
              <w:keepNext/>
              <w:spacing w:after="0" w:line="259" w:lineRule="auto"/>
              <w:ind w:right="144"/>
              <w:jc w:val="center"/>
              <w:rPr>
                <w:rFonts w:ascii="Times New Roman" w:eastAsia="Times New Roman" w:hAnsi="Times New Roman" w:cs="Times New Roman"/>
                <w:sz w:val="18"/>
                <w:szCs w:val="18"/>
              </w:rPr>
            </w:pPr>
            <w:r>
              <w:rPr>
                <w:rFonts w:ascii="Times New Roman" w:eastAsia="Times New Roman" w:hAnsi="Times New Roman" w:cs="Times New Roman"/>
                <w:color w:val="365F91"/>
                <w:sz w:val="18"/>
                <w:szCs w:val="18"/>
              </w:rPr>
              <w:t>low</w:t>
            </w:r>
          </w:p>
        </w:tc>
        <w:tc>
          <w:tcPr>
            <w:tcW w:w="1191" w:type="dxa"/>
            <w:vAlign w:val="bottom"/>
          </w:tcPr>
          <w:p w14:paraId="00000708" w14:textId="77777777" w:rsidR="009F1887" w:rsidRDefault="009F1887">
            <w:pPr>
              <w:keepNext/>
              <w:spacing w:after="0" w:line="259" w:lineRule="auto"/>
              <w:ind w:left="144" w:right="144"/>
              <w:jc w:val="center"/>
              <w:rPr>
                <w:rFonts w:ascii="Times New Roman" w:eastAsia="Times New Roman" w:hAnsi="Times New Roman" w:cs="Times New Roman"/>
                <w:sz w:val="18"/>
                <w:szCs w:val="18"/>
              </w:rPr>
            </w:pPr>
          </w:p>
          <w:p w14:paraId="00000709" w14:textId="77777777" w:rsidR="009F1887" w:rsidRDefault="00790D5B">
            <w:pPr>
              <w:keepNext/>
              <w:spacing w:after="0" w:line="259" w:lineRule="auto"/>
              <w:ind w:left="144" w:right="144"/>
              <w:jc w:val="center"/>
              <w:rPr>
                <w:rFonts w:ascii="Times New Roman" w:eastAsia="Times New Roman" w:hAnsi="Times New Roman" w:cs="Times New Roman"/>
                <w:sz w:val="18"/>
                <w:szCs w:val="18"/>
              </w:rPr>
            </w:pPr>
            <w:r>
              <w:rPr>
                <w:rFonts w:ascii="Times New Roman" w:eastAsia="Times New Roman" w:hAnsi="Times New Roman" w:cs="Times New Roman"/>
                <w:color w:val="365F91"/>
                <w:sz w:val="18"/>
                <w:szCs w:val="18"/>
              </w:rPr>
              <w:t>Substantial</w:t>
            </w:r>
          </w:p>
        </w:tc>
      </w:tr>
    </w:tbl>
    <w:p w14:paraId="0000070A" w14:textId="77777777" w:rsidR="009F1887" w:rsidRDefault="009F1887">
      <w:pPr>
        <w:keepNext/>
        <w:keepLines/>
        <w:spacing w:after="240" w:line="240" w:lineRule="auto"/>
        <w:jc w:val="both"/>
        <w:rPr>
          <w:rFonts w:ascii="Times New Roman" w:eastAsia="Times New Roman" w:hAnsi="Times New Roman" w:cs="Times New Roman"/>
        </w:rPr>
      </w:pPr>
    </w:p>
    <w:p w14:paraId="0000070B"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OHS risks associated with contracted workers (such as workers engaged by contractors). It is expected that this category of workers might experience small accidents that could lead to injuries, but they could also be exposed to illness caused by COVID-19. All contractors will be required to ensure and provide workers with the appropriate PPE and receive health and safety training prior to commencement of works. </w:t>
      </w:r>
    </w:p>
    <w:p w14:paraId="0000070C"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Child and forced labor risks associated with primary supply workers are not expected. The primary suppliers shall be companies that supply various medical supplies (PPE, ventilators, testing kits, cleaning and disinfection materials, alcohol solution, etc.). Based on the country’s applicable laws and regulations, the risk associated with child and forced labor is negligible. Furthermore, it is expected that the primary suppliers would be reputable companies that meet the requirements of international management standards which in addition to safety and environmental aspects includes human resources. </w:t>
      </w:r>
    </w:p>
    <w:p w14:paraId="0000070D" w14:textId="77777777" w:rsidR="009F1887" w:rsidRDefault="00790D5B">
      <w:pPr>
        <w:keepNext/>
        <w:spacing w:before="120" w:after="12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The Project is assessed as low on gender-based violence (GBV), sexual exploitation and abuse (SEA), and sexual harassment (SH). Nevertheless, the Borrower shall articulate in a written form i.e., initiate </w:t>
      </w:r>
      <w:r>
        <w:rPr>
          <w:rFonts w:ascii="Times New Roman" w:eastAsia="Times New Roman" w:hAnsi="Times New Roman" w:cs="Times New Roman"/>
        </w:rPr>
        <w:lastRenderedPageBreak/>
        <w:t xml:space="preserve">development and ensure placement of posters which will entail information on the desired and expected behavior of direct, contracted workers, and patients at the health care facilities. The placed posters shall also entail the information on how to lodge a complaint. </w:t>
      </w:r>
    </w:p>
    <w:p w14:paraId="0000070E" w14:textId="77777777" w:rsidR="009F1887" w:rsidRDefault="009F1887">
      <w:pPr>
        <w:spacing w:after="0"/>
        <w:jc w:val="both"/>
        <w:rPr>
          <w:rFonts w:ascii="Times New Roman" w:eastAsia="Times New Roman" w:hAnsi="Times New Roman" w:cs="Times New Roman"/>
        </w:rPr>
      </w:pPr>
    </w:p>
    <w:p w14:paraId="0000070F" w14:textId="77777777" w:rsidR="009F1887" w:rsidRDefault="00790D5B">
      <w:pPr>
        <w:pStyle w:val="Heading2"/>
        <w:numPr>
          <w:ilvl w:val="0"/>
          <w:numId w:val="65"/>
        </w:numPr>
        <w:spacing w:before="200" w:after="200"/>
        <w:ind w:left="426"/>
        <w:jc w:val="both"/>
      </w:pPr>
      <w:r>
        <w:t>BRIEF OVERVIEW OF LABOR LEGISLATION: TERMS AND CONDITIONS</w:t>
      </w:r>
    </w:p>
    <w:p w14:paraId="00000710"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Provision of information and forms of employment contracts</w:t>
      </w:r>
    </w:p>
    <w:p w14:paraId="00000711" w14:textId="77777777" w:rsidR="009F1887" w:rsidRDefault="009F1887">
      <w:pPr>
        <w:spacing w:after="0" w:line="240" w:lineRule="auto"/>
        <w:jc w:val="both"/>
        <w:rPr>
          <w:rFonts w:ascii="Times New Roman" w:eastAsia="Times New Roman" w:hAnsi="Times New Roman" w:cs="Times New Roman"/>
        </w:rPr>
      </w:pPr>
    </w:p>
    <w:p w14:paraId="00000712"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As part of the pre-contractual relationship, the employer is required to provide the candidate employee with the information about the work to be performed, the type of employment contract (written or oral) and terms (fixed or open-ended, the working conditions, legal rights of the employee as part of the employment relationship and remuneration (Labor Code of Georgia 2013 (“LC”) - Article 5)</w:t>
      </w:r>
    </w:p>
    <w:p w14:paraId="00000713"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Employment contracts can be concluded in writing or orally, however contracts exceeding 3 months must be concluded in writing. The core terms of the employment contract are: the date on which the employment commences and duration of the contract, working time and rest time, place of employment, position and job description, remuneration and terms of payment; overtime and relevant remuneration rates, paid and not paid holidays (LC article 6).</w:t>
      </w:r>
    </w:p>
    <w:p w14:paraId="00000714"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Labor Code does not regulate part-time work. However, ESS2 requirements apply to part-time workers, as well, including the requirement for the provision of information and contracts.  </w:t>
      </w:r>
    </w:p>
    <w:p w14:paraId="00000715" w14:textId="77777777" w:rsidR="009F1887" w:rsidRDefault="009F1887">
      <w:pPr>
        <w:spacing w:after="0"/>
        <w:jc w:val="both"/>
        <w:rPr>
          <w:rFonts w:ascii="Times New Roman" w:eastAsia="Times New Roman" w:hAnsi="Times New Roman" w:cs="Times New Roman"/>
        </w:rPr>
      </w:pPr>
    </w:p>
    <w:p w14:paraId="00000716"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Wages and deductions</w:t>
      </w:r>
    </w:p>
    <w:p w14:paraId="00000717" w14:textId="77777777" w:rsidR="009F1887" w:rsidRDefault="009F1887">
      <w:pPr>
        <w:spacing w:after="0" w:line="240" w:lineRule="auto"/>
        <w:jc w:val="both"/>
        <w:rPr>
          <w:rFonts w:ascii="Times New Roman" w:eastAsia="Times New Roman" w:hAnsi="Times New Roman" w:cs="Times New Roman"/>
        </w:rPr>
      </w:pPr>
    </w:p>
    <w:p w14:paraId="00000718"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Labor Code does not provide for minimum wage. The presidential decree sets out 20 GEL as a minimum monthly wage (President Order No 351, dated 4 June 1999). </w:t>
      </w:r>
    </w:p>
    <w:p w14:paraId="00000719" w14:textId="77777777" w:rsidR="009F1887" w:rsidRDefault="009F1887">
      <w:pPr>
        <w:spacing w:after="0"/>
        <w:jc w:val="both"/>
        <w:rPr>
          <w:rFonts w:ascii="Times New Roman" w:eastAsia="Times New Roman" w:hAnsi="Times New Roman" w:cs="Times New Roman"/>
        </w:rPr>
      </w:pPr>
    </w:p>
    <w:p w14:paraId="0000071A"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Remuneration and regularity of payments are generally agreed and determined by the parties to the employment contract. However, in the absence of such agreement, the law determines that remuneration should be paid once in a month. The employer will pay to the employee 0.07% of the delayed sum for each day of delay in remuneration or payment (LC Article 31)</w:t>
      </w:r>
    </w:p>
    <w:p w14:paraId="0000071B" w14:textId="77777777" w:rsidR="009F1887" w:rsidRDefault="009F1887">
      <w:pPr>
        <w:spacing w:after="0"/>
        <w:jc w:val="both"/>
        <w:rPr>
          <w:rFonts w:ascii="Times New Roman" w:eastAsia="Times New Roman" w:hAnsi="Times New Roman" w:cs="Times New Roman"/>
        </w:rPr>
      </w:pPr>
    </w:p>
    <w:p w14:paraId="0000071C"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The probation period which should not exceed 6 months should also be remunerated by the employer as per the parties’ agreement (LC article 9).</w:t>
      </w:r>
    </w:p>
    <w:p w14:paraId="0000071D"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Internal employment regulations, if adopted by the employer, should determine amongst other things the time, place and procedure for remuneration payments. The internal policy should be communicated to employees (LC article 13).</w:t>
      </w:r>
    </w:p>
    <w:p w14:paraId="0000071E" w14:textId="77777777" w:rsidR="009F1887" w:rsidRDefault="009F1887">
      <w:pPr>
        <w:spacing w:after="0"/>
        <w:jc w:val="both"/>
        <w:rPr>
          <w:rFonts w:ascii="Times New Roman" w:eastAsia="Times New Roman" w:hAnsi="Times New Roman" w:cs="Times New Roman"/>
        </w:rPr>
      </w:pPr>
    </w:p>
    <w:p w14:paraId="0000071F"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employer may deduct from an employee’s remuneration any overpayments or other amounts payable by the employee to the employer, in accordance to the employment contract. However, such deductions should not exceed 50 per cent of the remuneration (LC Article 33). The employer will pay full compensation to the employee for work-related damage that caused any deterioration to the employee’s health and will cover the subsequent, necessary treatment costs (LC Article 32). </w:t>
      </w:r>
    </w:p>
    <w:p w14:paraId="00000720" w14:textId="77777777" w:rsidR="009F1887" w:rsidRDefault="009F1887">
      <w:pPr>
        <w:spacing w:after="0"/>
        <w:jc w:val="both"/>
        <w:rPr>
          <w:rFonts w:ascii="Times New Roman" w:eastAsia="Times New Roman" w:hAnsi="Times New Roman" w:cs="Times New Roman"/>
          <w:b/>
          <w:i/>
        </w:rPr>
      </w:pPr>
    </w:p>
    <w:p w14:paraId="00000721"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Working hours</w:t>
      </w:r>
    </w:p>
    <w:p w14:paraId="00000722"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The Labor Code provides for a possibility for the employer to determine the duration of working time per week, however such time should not exceed 40 hours  per week (8 hours per day). For workplaces which fall under the specific regime (including energy, mining, transport, construction,  and chemical production)</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the law allows 48 working hours per week, without it being considered as overtime work.   The working hours limit  does not include time for meal breaks. Additionally, if employer’s activities require an uninterrupted working process for 24 hours, then shift work can be considered, however the employer should grant  at least 12 hours of rest in between shifts (LC Article 14).</w:t>
      </w:r>
    </w:p>
    <w:p w14:paraId="00000723" w14:textId="77777777" w:rsidR="009F1887" w:rsidRDefault="00790D5B">
      <w:pPr>
        <w:spacing w:after="0"/>
        <w:jc w:val="both"/>
        <w:rPr>
          <w:rFonts w:ascii="Times New Roman" w:eastAsia="Times New Roman" w:hAnsi="Times New Roman" w:cs="Times New Roman"/>
        </w:rPr>
      </w:pPr>
      <w:bookmarkStart w:id="711" w:name="_heading=h.vx1227" w:colFirst="0" w:colLast="0"/>
      <w:bookmarkEnd w:id="711"/>
      <w:r>
        <w:rPr>
          <w:rFonts w:ascii="Times New Roman" w:eastAsia="Times New Roman" w:hAnsi="Times New Roman" w:cs="Times New Roman"/>
        </w:rPr>
        <w:t>Working hours for children between 16-18 years are limited to 36 hours per week and for children between 14-16 years  to 24 hours a week maximum (LC Article 14).</w:t>
      </w:r>
    </w:p>
    <w:p w14:paraId="00000724" w14:textId="77777777" w:rsidR="009F1887" w:rsidRDefault="009F1887">
      <w:pPr>
        <w:spacing w:after="0"/>
        <w:jc w:val="both"/>
        <w:rPr>
          <w:rFonts w:ascii="Times New Roman" w:eastAsia="Times New Roman" w:hAnsi="Times New Roman" w:cs="Times New Roman"/>
          <w:sz w:val="20"/>
          <w:szCs w:val="20"/>
        </w:rPr>
      </w:pPr>
    </w:p>
    <w:p w14:paraId="00000725" w14:textId="77777777" w:rsidR="009F1887" w:rsidRDefault="00790D5B">
      <w:pPr>
        <w:spacing w:after="0"/>
        <w:jc w:val="both"/>
        <w:rPr>
          <w:rFonts w:ascii="Times New Roman" w:eastAsia="Times New Roman" w:hAnsi="Times New Roman" w:cs="Times New Roman"/>
          <w:sz w:val="20"/>
          <w:szCs w:val="20"/>
        </w:rPr>
      </w:pPr>
      <w:r>
        <w:rPr>
          <w:rFonts w:ascii="Times New Roman" w:eastAsia="Times New Roman" w:hAnsi="Times New Roman" w:cs="Times New Roman"/>
        </w:rPr>
        <w:t>There is no strict limitation for shift workers, apart from the fact that the duration shall be determined by a shift schedule made up by an employer and which is based on work specificities. The requirement for 12-hour minimum rest between shifts (as per LC, Art 14 above) apply. The employer should notify the employee about the shift schedule at least 10 days in advance, unless that is impossible during an emergency (LC article 15).</w:t>
      </w:r>
    </w:p>
    <w:p w14:paraId="00000726" w14:textId="77777777" w:rsidR="009F1887" w:rsidRDefault="009F1887">
      <w:pPr>
        <w:spacing w:after="0"/>
        <w:jc w:val="both"/>
        <w:rPr>
          <w:rFonts w:ascii="Times New Roman" w:eastAsia="Times New Roman" w:hAnsi="Times New Roman" w:cs="Times New Roman"/>
          <w:sz w:val="20"/>
          <w:szCs w:val="20"/>
        </w:rPr>
      </w:pPr>
    </w:p>
    <w:p w14:paraId="00000727"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Working at night (night is considered to be between 22:00 and 6:00) is prohibited for minors, pregnant women, women who recently gave birth, nursing mothers as well as official caregivers of children under the age of 3, as well as persons with disabilities (LC article 18).</w:t>
      </w:r>
    </w:p>
    <w:p w14:paraId="00000728" w14:textId="77777777" w:rsidR="009F1887" w:rsidRDefault="009F1887">
      <w:pPr>
        <w:spacing w:after="0" w:line="240" w:lineRule="auto"/>
        <w:jc w:val="both"/>
        <w:rPr>
          <w:rFonts w:ascii="Times New Roman" w:eastAsia="Times New Roman" w:hAnsi="Times New Roman" w:cs="Times New Roman"/>
          <w:sz w:val="20"/>
          <w:szCs w:val="20"/>
        </w:rPr>
      </w:pPr>
    </w:p>
    <w:p w14:paraId="00000729"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Overtime</w:t>
      </w:r>
    </w:p>
    <w:p w14:paraId="0000072A" w14:textId="77777777" w:rsidR="009F1887" w:rsidRDefault="009F1887">
      <w:pPr>
        <w:spacing w:after="0" w:line="240" w:lineRule="auto"/>
        <w:jc w:val="both"/>
        <w:rPr>
          <w:rFonts w:ascii="Times New Roman" w:eastAsia="Times New Roman" w:hAnsi="Times New Roman" w:cs="Times New Roman"/>
        </w:rPr>
      </w:pPr>
    </w:p>
    <w:p w14:paraId="0000072B"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There is currently no limitation as to the maximum overtime per week. Overtime is considered to be the time which is in excess of normal 40 hours, and 48 hours in sectors regulated by the secondary regulation, as well as  36 and 24 respectively for minors,  and is subject to compensation on hourly basis at an increased pay rate,  subject to the agreement of the parties. Instead of overtime compensation payment, additional leave days can be provided (LC Article 17). The law does not explicitly provide what should be an increased pay rate for overtime. </w:t>
      </w:r>
    </w:p>
    <w:p w14:paraId="0000072C" w14:textId="77777777" w:rsidR="009F1887" w:rsidRDefault="009F1887">
      <w:pPr>
        <w:spacing w:after="0"/>
        <w:jc w:val="both"/>
        <w:rPr>
          <w:rFonts w:ascii="Times New Roman" w:eastAsia="Times New Roman" w:hAnsi="Times New Roman" w:cs="Times New Roman"/>
        </w:rPr>
      </w:pPr>
    </w:p>
    <w:p w14:paraId="0000072D"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Overtime is obligatory without payment only when it is required for prevention of natural disasters and/or elimination of underlying consequences; with adequate remuneration when it is required for prevention of industrial accidents and/or elimination of their consequences.</w:t>
      </w:r>
    </w:p>
    <w:p w14:paraId="0000072E" w14:textId="77777777" w:rsidR="009F1887" w:rsidRDefault="009F1887">
      <w:pPr>
        <w:spacing w:after="0"/>
        <w:jc w:val="both"/>
        <w:rPr>
          <w:rFonts w:ascii="Times New Roman" w:eastAsia="Times New Roman" w:hAnsi="Times New Roman" w:cs="Times New Roman"/>
        </w:rPr>
      </w:pPr>
    </w:p>
    <w:p w14:paraId="0000072F"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It is prohibited to request  overtime for the following categories of employees without their consent: pregnant women, women who recently gave birth, persons with disabilities.</w:t>
      </w:r>
    </w:p>
    <w:p w14:paraId="00000730" w14:textId="77777777" w:rsidR="009F1887" w:rsidRDefault="009F1887">
      <w:pPr>
        <w:spacing w:after="0"/>
        <w:jc w:val="both"/>
        <w:rPr>
          <w:rFonts w:ascii="Times New Roman" w:eastAsia="Times New Roman" w:hAnsi="Times New Roman" w:cs="Times New Roman"/>
          <w:b/>
          <w:i/>
        </w:rPr>
      </w:pPr>
    </w:p>
    <w:p w14:paraId="00000731"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Rest period </w:t>
      </w:r>
    </w:p>
    <w:p w14:paraId="00000732" w14:textId="77777777" w:rsidR="009F1887" w:rsidRDefault="009F1887">
      <w:pPr>
        <w:spacing w:after="0" w:line="240" w:lineRule="auto"/>
        <w:jc w:val="both"/>
        <w:rPr>
          <w:rFonts w:ascii="Times New Roman" w:eastAsia="Times New Roman" w:hAnsi="Times New Roman" w:cs="Times New Roman"/>
        </w:rPr>
      </w:pPr>
    </w:p>
    <w:p w14:paraId="00000733"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Whilst there is no explicit requirement for minimum weekly rest, shift work requires the employer to grant to an employee adequate rest time in light of the hours worked. Employers are required to grant  a meal break each workday. The duration of rest between working days shall not be less than 12 hours (LC Article 14).</w:t>
      </w:r>
    </w:p>
    <w:p w14:paraId="00000734" w14:textId="77777777" w:rsidR="009F1887" w:rsidRDefault="009F1887">
      <w:pPr>
        <w:spacing w:after="0"/>
        <w:jc w:val="both"/>
        <w:rPr>
          <w:rFonts w:ascii="Times New Roman" w:eastAsia="Times New Roman" w:hAnsi="Times New Roman" w:cs="Times New Roman"/>
        </w:rPr>
      </w:pPr>
    </w:p>
    <w:p w14:paraId="00000735"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Additional breaks are available for vulnerable groups such as nursing mothers and mothers with children under 12 months, who may benefit from additional one hour break per day. This time is to be deemed as working time and is subject to regular remuneration (LC article 19).</w:t>
      </w:r>
    </w:p>
    <w:p w14:paraId="00000736" w14:textId="77777777" w:rsidR="009F1887" w:rsidRDefault="009F1887">
      <w:pPr>
        <w:spacing w:after="0" w:line="240" w:lineRule="auto"/>
        <w:jc w:val="both"/>
        <w:rPr>
          <w:rFonts w:ascii="Times New Roman" w:eastAsia="Times New Roman" w:hAnsi="Times New Roman" w:cs="Times New Roman"/>
        </w:rPr>
      </w:pPr>
    </w:p>
    <w:p w14:paraId="00000737" w14:textId="77777777" w:rsidR="009F1887" w:rsidRDefault="009F1887">
      <w:pPr>
        <w:spacing w:after="0" w:line="240" w:lineRule="auto"/>
        <w:jc w:val="both"/>
        <w:rPr>
          <w:rFonts w:ascii="Times New Roman" w:eastAsia="Times New Roman" w:hAnsi="Times New Roman" w:cs="Times New Roman"/>
        </w:rPr>
      </w:pPr>
    </w:p>
    <w:p w14:paraId="00000738"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Annual leave </w:t>
      </w:r>
    </w:p>
    <w:p w14:paraId="00000739" w14:textId="77777777" w:rsidR="009F1887" w:rsidRDefault="009F1887">
      <w:pPr>
        <w:spacing w:after="0" w:line="240" w:lineRule="auto"/>
        <w:jc w:val="both"/>
        <w:rPr>
          <w:rFonts w:ascii="Times New Roman" w:eastAsia="Times New Roman" w:hAnsi="Times New Roman" w:cs="Times New Roman"/>
          <w:b/>
        </w:rPr>
      </w:pPr>
    </w:p>
    <w:p w14:paraId="0000073A"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The law sets a minimum of 24 paid working days per year as annual leave. Additional 15 calendar days could be taken as unpaid leave (LC article 21). Leave does not include a period of temporary disability, and maternity leave. There are around 13 public holidays determined by Labor Code and if work falls under these days, they must be deemed as overtime work for employees (LC Article 20). Additional paid leave of 10 calendar days are provided for employees working under the harsh, harmful, or hazardous</w:t>
      </w:r>
      <w:r>
        <w:rPr>
          <w:rFonts w:ascii="Times New Roman" w:eastAsia="Times New Roman" w:hAnsi="Times New Roman" w:cs="Times New Roman"/>
          <w:vertAlign w:val="superscript"/>
        </w:rPr>
        <w:footnoteReference w:id="48"/>
      </w:r>
      <w:r>
        <w:rPr>
          <w:rFonts w:ascii="Times New Roman" w:eastAsia="Times New Roman" w:hAnsi="Times New Roman" w:cs="Times New Roman"/>
        </w:rPr>
        <w:t xml:space="preserve"> labor conditions (LC article 26). </w:t>
      </w:r>
    </w:p>
    <w:p w14:paraId="0000073B" w14:textId="77777777" w:rsidR="009F1887" w:rsidRDefault="009F1887">
      <w:pPr>
        <w:spacing w:after="0" w:line="240" w:lineRule="auto"/>
        <w:jc w:val="both"/>
        <w:rPr>
          <w:rFonts w:ascii="Times New Roman" w:eastAsia="Times New Roman" w:hAnsi="Times New Roman" w:cs="Times New Roman"/>
        </w:rPr>
      </w:pPr>
    </w:p>
    <w:p w14:paraId="0000073C" w14:textId="77777777" w:rsidR="009F1887" w:rsidRDefault="009F1887">
      <w:pPr>
        <w:spacing w:after="0" w:line="240" w:lineRule="auto"/>
        <w:jc w:val="both"/>
        <w:rPr>
          <w:rFonts w:ascii="Times New Roman" w:eastAsia="Times New Roman" w:hAnsi="Times New Roman" w:cs="Times New Roman"/>
          <w:b/>
        </w:rPr>
      </w:pPr>
    </w:p>
    <w:p w14:paraId="0000073D"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Maternity leave </w:t>
      </w:r>
    </w:p>
    <w:p w14:paraId="0000073E" w14:textId="77777777" w:rsidR="009F1887" w:rsidRDefault="009F1887">
      <w:pPr>
        <w:spacing w:after="0" w:line="240" w:lineRule="auto"/>
        <w:jc w:val="both"/>
        <w:rPr>
          <w:rFonts w:ascii="Times New Roman" w:eastAsia="Times New Roman" w:hAnsi="Times New Roman" w:cs="Times New Roman"/>
          <w:u w:val="single"/>
        </w:rPr>
      </w:pPr>
    </w:p>
    <w:p w14:paraId="0000073F"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Maternity and child care leave is granted for 730 calendar days to women. The Labor Code indicates that 183 calendar days (or 200 calendar days in the event of complications or multiple births) of these 730 days shall be paid (LC article 27). In the event of new-born adoption, when a child under 12 months is adopted, employee is entitled to 550 calendar days of leave, of which 90 calendar days are paid (LC article 28).</w:t>
      </w:r>
    </w:p>
    <w:p w14:paraId="00000740"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Further, the payment of the maternity, child care leave and new-born adoption leave shall be paid from the state budget of Georgia in the form of one-off cash allowance, covering the duration of their paid leave, in the amount of GEL 1000. An employer and employee may also agree on additional payments in this regard (LC article 29).</w:t>
      </w:r>
      <w:r>
        <w:rPr>
          <w:rFonts w:ascii="Times New Roman" w:eastAsia="Times New Roman" w:hAnsi="Times New Roman" w:cs="Times New Roman"/>
          <w:sz w:val="20"/>
          <w:szCs w:val="20"/>
        </w:rPr>
        <w:t xml:space="preserve"> </w:t>
      </w:r>
    </w:p>
    <w:p w14:paraId="00000741" w14:textId="77777777" w:rsidR="009F1887" w:rsidRDefault="009F1887">
      <w:pPr>
        <w:spacing w:after="0" w:line="240" w:lineRule="auto"/>
        <w:jc w:val="both"/>
        <w:rPr>
          <w:rFonts w:ascii="Times New Roman" w:eastAsia="Times New Roman" w:hAnsi="Times New Roman" w:cs="Times New Roman"/>
          <w:sz w:val="20"/>
          <w:szCs w:val="20"/>
        </w:rPr>
      </w:pPr>
    </w:p>
    <w:p w14:paraId="00000742"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Written Notice and payments on termination</w:t>
      </w:r>
    </w:p>
    <w:p w14:paraId="00000743" w14:textId="77777777" w:rsidR="009F1887" w:rsidRDefault="009F1887">
      <w:pPr>
        <w:spacing w:after="0" w:line="240" w:lineRule="auto"/>
        <w:jc w:val="both"/>
        <w:rPr>
          <w:rFonts w:ascii="Times New Roman" w:eastAsia="Times New Roman" w:hAnsi="Times New Roman" w:cs="Times New Roman"/>
          <w:sz w:val="20"/>
          <w:szCs w:val="20"/>
          <w:u w:val="single"/>
        </w:rPr>
      </w:pPr>
    </w:p>
    <w:p w14:paraId="00000744"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employer has an obligation to issue a prior written notice of 30 calendar days and make severance payment of at least one month’s salary within 30 calendar days after terminating the contract. The employer </w:t>
      </w:r>
      <w:r>
        <w:rPr>
          <w:rFonts w:ascii="Times New Roman" w:eastAsia="Times New Roman" w:hAnsi="Times New Roman" w:cs="Times New Roman"/>
        </w:rPr>
        <w:lastRenderedPageBreak/>
        <w:t>may issue a prior written notice of 3 calendar days’, however in this case the severance payment would be in the amount of at least two months’ salary payable within 30 calendar days after terminating the contract. Accrued but unused annual holiday shall be paid to the employee  in the event of termination of the contract  (LC article 37).</w:t>
      </w:r>
    </w:p>
    <w:p w14:paraId="00000745" w14:textId="77777777" w:rsidR="009F1887" w:rsidRDefault="009F1887">
      <w:pPr>
        <w:spacing w:after="0"/>
        <w:rPr>
          <w:rFonts w:ascii="Times New Roman" w:eastAsia="Times New Roman" w:hAnsi="Times New Roman" w:cs="Times New Roman"/>
        </w:rPr>
      </w:pPr>
    </w:p>
    <w:p w14:paraId="00000746" w14:textId="77777777" w:rsidR="009F1887" w:rsidRDefault="00790D5B">
      <w:pPr>
        <w:spacing w:after="0"/>
        <w:rPr>
          <w:rFonts w:ascii="Times New Roman" w:eastAsia="Times New Roman" w:hAnsi="Times New Roman" w:cs="Times New Roman"/>
        </w:rPr>
      </w:pPr>
      <w:bookmarkStart w:id="712" w:name="_heading=h.3fwokq0" w:colFirst="0" w:colLast="0"/>
      <w:bookmarkEnd w:id="712"/>
      <w:r>
        <w:rPr>
          <w:rFonts w:ascii="Times New Roman" w:eastAsia="Times New Roman" w:hAnsi="Times New Roman" w:cs="Times New Roman"/>
        </w:rPr>
        <w:t xml:space="preserve">If at least 100 employees’ labor agreements are terminated within 15 calendar days on the grounds of economic, technological and organizational changes requiring downsizing, employers shall be obliged to notify in writing the Ministry of Labor, Health, and Social Affairs of Georgia and the employees whose labor agreements are terminated, at least 45 calendar days before retrenchment. The notification period under Article 38(1-2) shall not apply in this case.  The Labor Code does not provide for the formula for calculating severance payment in case of retrenchment. </w:t>
      </w:r>
    </w:p>
    <w:p w14:paraId="00000747" w14:textId="77777777" w:rsidR="009F1887" w:rsidRDefault="009F1887">
      <w:pPr>
        <w:spacing w:after="0"/>
        <w:jc w:val="both"/>
        <w:rPr>
          <w:rFonts w:ascii="Times New Roman" w:eastAsia="Times New Roman" w:hAnsi="Times New Roman" w:cs="Times New Roman"/>
          <w:b/>
          <w:i/>
        </w:rPr>
      </w:pPr>
    </w:p>
    <w:p w14:paraId="00000748"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Labor disputes </w:t>
      </w:r>
    </w:p>
    <w:p w14:paraId="00000749"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The law defines the procedure for individual disputes as conciliation and states that it must be resolved under conciliation procedures between the parties, implying direct negotiations between an employee and employer. If a party opts for this procedure, it should notify the other one in writing about initiation of conciliation procedure, along with statement of grounds for potential dispute and nature of claims. The other party will have 10 calendar days to respond. Third parties, such as employee representatives may get involved in this process in due course. Representatives or parties shall make a decision in writing that shall become a part of the existing labor agreement. Failure in reaching an agreement within 14 calendar days since the initial notification will enable the party to refer the dispute to court. If any of the parties has avoided participation in the conciliation procedure within those 14 days, the burden of proof shall fall on them for determining the facts of dispute (LC article 48). However, the conciliation procedure does not prevent employees to use available judicial mechanisms to protect their labor rights.</w:t>
      </w:r>
    </w:p>
    <w:p w14:paraId="0000074A" w14:textId="77777777" w:rsidR="009F1887" w:rsidRDefault="009F1887">
      <w:pPr>
        <w:spacing w:after="0"/>
        <w:jc w:val="both"/>
        <w:rPr>
          <w:rFonts w:ascii="Times New Roman" w:eastAsia="Times New Roman" w:hAnsi="Times New Roman" w:cs="Times New Roman"/>
        </w:rPr>
      </w:pPr>
    </w:p>
    <w:p w14:paraId="0000074B" w14:textId="77777777" w:rsidR="009F1887" w:rsidRDefault="00790D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Minimum age of employment </w:t>
      </w:r>
    </w:p>
    <w:p w14:paraId="0000074C" w14:textId="77777777" w:rsidR="009F1887" w:rsidRDefault="009F1887">
      <w:pPr>
        <w:spacing w:after="0" w:line="240" w:lineRule="auto"/>
        <w:jc w:val="both"/>
        <w:rPr>
          <w:rFonts w:ascii="Times New Roman" w:eastAsia="Times New Roman" w:hAnsi="Times New Roman" w:cs="Times New Roman"/>
        </w:rPr>
      </w:pPr>
    </w:p>
    <w:p w14:paraId="0000074D"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minimum employment age is 16 years. Children under the age of 16 can enter into an employment agreement with the consent of their legal representative or custodian, given it does not harm them in any way and does not hold minors from acquisition of education. Children under the age of 14 can enter into employment only in connection to sports, arts, culture and performance of certain advertising work (LC Article 4). However, the law does not require employers to carry out additional risk assessment of working conditions for persons from 16 to 18 years and to implement additional protection measures. </w:t>
      </w:r>
    </w:p>
    <w:p w14:paraId="0000074E"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Persons below the age of 18 are prohibited to be engaged in hazardous, harsh and harmful work and night work.  Minors are prohibited from being employed in work relating to gambling, nightclubs, erotic or pornographic products, pharmaceutical and toxic substances.</w:t>
      </w:r>
    </w:p>
    <w:p w14:paraId="0000074F" w14:textId="77777777" w:rsidR="009F1887" w:rsidRDefault="009F1887">
      <w:pPr>
        <w:spacing w:after="0"/>
        <w:jc w:val="both"/>
        <w:rPr>
          <w:rFonts w:ascii="Times New Roman" w:eastAsia="Times New Roman" w:hAnsi="Times New Roman" w:cs="Times New Roman"/>
          <w:sz w:val="20"/>
          <w:szCs w:val="20"/>
        </w:rPr>
      </w:pPr>
    </w:p>
    <w:p w14:paraId="00000750"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Forced labor</w:t>
      </w:r>
    </w:p>
    <w:p w14:paraId="00000751"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The Labor Code prohibits forced labor (LC Article 2). In addition, Georgia ratified the ILO Forced Labor Convention and the convention is currently in force. Law of Georgia on Combating Human Trafficking explicitly sets out prohibition of human trafficking and provides preventive measures as well as actions to be taken against trafficking across the country. The Criminal Code of Georgia lists different categories of trafficking as criminal offences and sets punishment ranging from 3 to 20 years imprisonment depending on specifics and circumstances of the offence.</w:t>
      </w:r>
    </w:p>
    <w:p w14:paraId="00000752" w14:textId="77777777" w:rsidR="009F1887" w:rsidRDefault="009F1887">
      <w:pPr>
        <w:spacing w:after="0"/>
        <w:jc w:val="both"/>
        <w:rPr>
          <w:rFonts w:ascii="Times New Roman" w:eastAsia="Times New Roman" w:hAnsi="Times New Roman" w:cs="Times New Roman"/>
        </w:rPr>
      </w:pPr>
    </w:p>
    <w:p w14:paraId="00000753"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lastRenderedPageBreak/>
        <w:t>In summary, there are several areas where national legislation is either partially aligned with ESS2, or the implementation modality is not well defined</w:t>
      </w:r>
      <w:r>
        <w:rPr>
          <w:rFonts w:ascii="Times New Roman" w:eastAsia="Times New Roman" w:hAnsi="Times New Roman" w:cs="Times New Roman"/>
        </w:rPr>
        <w:t>. The Labor Code does not prescribe the rate of increase for overtime work. There is no requirement for employers to carry out  appropriate risk assessment when employing a child between ages of 16 and 18 years, as required by the ESS2, nor to monitor how the protective measures for young workers are implemented. While the Labor Code provides for an optional conciliation procedure, there is no specific requirement for employers to establish a workers’ grievance mechanism</w:t>
      </w:r>
      <w:r>
        <w:rPr>
          <w:rFonts w:ascii="Times New Roman" w:eastAsia="Times New Roman" w:hAnsi="Times New Roman" w:cs="Times New Roman"/>
          <w:b/>
        </w:rPr>
        <w:t xml:space="preserve">.  </w:t>
      </w:r>
    </w:p>
    <w:p w14:paraId="00000754"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b/>
        </w:rPr>
        <w:t xml:space="preserve">The following issues are identified as a gap with ESS2: Labor and Working Conditions requirements. </w:t>
      </w:r>
      <w:r>
        <w:rPr>
          <w:rFonts w:ascii="Times New Roman" w:eastAsia="Times New Roman" w:hAnsi="Times New Roman" w:cs="Times New Roman"/>
        </w:rPr>
        <w:t xml:space="preserve">The Labor Code does not provide for a minimum wage. The limit on maximum overtime hours is not included in the law, and there is no clear provision on weekly rest period. The formula for calculating the severance payment in instances of collective redundancies is not provided, which may create a risk of social insecurity for workers who are dismissed. The Labor Code does not address the issue of equal pay for equal work. The law allows that termination payments and other statutory benefits are paid to the workers within 30 days for termination, while the ESS2 requires these payments to be made before the termination of employment. </w:t>
      </w:r>
    </w:p>
    <w:p w14:paraId="00000755" w14:textId="77777777" w:rsidR="009F1887" w:rsidRDefault="00790D5B">
      <w:pPr>
        <w:pStyle w:val="Heading2"/>
        <w:numPr>
          <w:ilvl w:val="0"/>
          <w:numId w:val="65"/>
        </w:numPr>
        <w:spacing w:before="200" w:after="200"/>
        <w:ind w:left="426"/>
        <w:jc w:val="both"/>
      </w:pPr>
      <w:r>
        <w:t>BRIEF OVERVIEW OF LABOR LEGISLATION: OCCUPATIONAL HEALTH AND SAFETY</w:t>
      </w:r>
    </w:p>
    <w:p w14:paraId="00000756"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The Constitution of Georgia establishes a fundamental right to safe working conditions (Article 26).</w:t>
      </w:r>
    </w:p>
    <w:p w14:paraId="00000757" w14:textId="77777777" w:rsidR="009F1887" w:rsidRDefault="00790D5B">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Georgia’s Law on Labor Safety (2019 “LS”) defines general principles of basic requirements and preventive measures that are related to occupational health and safety (OHS) at the workplace, the existing and anticipated risks, prevention of accidents and occupational diseases, training, informing, and consulting of the employees, and their equal engagement in the occupational health and safety protection issues. </w:t>
      </w:r>
    </w:p>
    <w:p w14:paraId="00000758" w14:textId="77777777" w:rsidR="009F1887" w:rsidRDefault="009F1887">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759" w14:textId="77777777" w:rsidR="009F1887" w:rsidRDefault="00790D5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rPr>
        <w:t>he law applies to all areas of economic activity, including the labor relations as determined by the Labor Code and the Law of Georgia on Civil Service. The law applies also to category of workers who are employed for the period shorter than three months and do not have written contracts.  The law does not apply to defense, intelligence , and security agencies nor to labor activities during the emergency and martial law.</w:t>
      </w:r>
      <w:r>
        <w:rPr>
          <w:rFonts w:ascii="Times New Roman" w:eastAsia="Times New Roman" w:hAnsi="Times New Roman" w:cs="Times New Roman"/>
          <w:color w:val="000000"/>
          <w:sz w:val="24"/>
          <w:szCs w:val="24"/>
        </w:rPr>
        <w:t xml:space="preserve"> </w:t>
      </w:r>
    </w:p>
    <w:p w14:paraId="0000075A" w14:textId="77777777" w:rsidR="009F1887" w:rsidRDefault="009F18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75B" w14:textId="77777777" w:rsidR="009F1887" w:rsidRDefault="00790D5B">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Responsibilities of the Employer </w:t>
      </w:r>
    </w:p>
    <w:p w14:paraId="0000075C"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To ensure due compliance with OHS, the employer is required to carry out risk assessment, which aims to identify hazards at the workplace and associated preventive measures. The employer is required to carry out risk assessment at all stages of work process, in order to eliminate  or reduce possible risks, and should update the risk assessment document on regular basis. Risk assessment documents should be kept duly by the employer. The employer is required to develop and implement procedures to establish and maintain a safe working environment, including that workplaces, machinery, equipment and processes under their control are safe and without risk to health. This also includes  use of appropriate measures related to chemical, physical and biological substances and agents, and obligation to carry out periodic control of safety conditions and checking the status of technical equipment.</w:t>
      </w:r>
    </w:p>
    <w:p w14:paraId="0000075D" w14:textId="77777777" w:rsidR="009F1887" w:rsidRDefault="009F1887">
      <w:pPr>
        <w:pBdr>
          <w:top w:val="nil"/>
          <w:left w:val="nil"/>
          <w:bottom w:val="nil"/>
          <w:right w:val="nil"/>
          <w:between w:val="nil"/>
        </w:pBdr>
        <w:spacing w:after="0"/>
        <w:jc w:val="both"/>
        <w:rPr>
          <w:rFonts w:ascii="Times New Roman" w:eastAsia="Times New Roman" w:hAnsi="Times New Roman" w:cs="Times New Roman"/>
          <w:color w:val="000000"/>
        </w:rPr>
      </w:pPr>
    </w:p>
    <w:p w14:paraId="0000075E" w14:textId="77777777" w:rsidR="009F1887" w:rsidRDefault="00790D5B">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Whenever avoidance of health and safety hazards is not possible, the employer shall provide appropriate protective measures. These measures include controlling the hazard at source using protective solutions and providing adequate personal protective equipment (PPE) at no cost to the employee.</w:t>
      </w:r>
    </w:p>
    <w:p w14:paraId="0000075F"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Employers are obliged to assign safety officers in the workplace. A workplace with fewer than 20 employees may have one of the existing employees to additionally cover the health and safety compliance functions, provided that they have undertaken a certified training. Workplaces with 20 to 100 employees are required to employ at least one safety officer. As for the workplaces with over 100 employees, the law requires  at least two safety officers. </w:t>
      </w:r>
    </w:p>
    <w:p w14:paraId="00000760" w14:textId="77777777" w:rsidR="009F1887" w:rsidRDefault="009F1887">
      <w:pPr>
        <w:spacing w:after="0"/>
        <w:jc w:val="both"/>
        <w:rPr>
          <w:rFonts w:ascii="Times New Roman" w:eastAsia="Times New Roman" w:hAnsi="Times New Roman" w:cs="Times New Roman"/>
        </w:rPr>
      </w:pPr>
    </w:p>
    <w:p w14:paraId="00000761"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The employer is responsible to provide OHS training to employees in language understandable to them on: a) general principles of health and safety as set out by the law; b) working procedures, equipment, machinery and manual and instructions for the use and repair of work equipment; c) emergency situations and evacuation plans and their implementation activities; d) existing threats and risks and also on measures to be taken with regards to overcoming such situations. The training must be provided to employees a) at the start of their employment, but before they actually commence work; b) in the event when employee is placed on another job; c) prior to the launch of new technological process and work methodology, as well as the use of new machinery and/or before the change in the production process; d) as part of the continuous training process, which requires conduct of training repeatedly.</w:t>
      </w:r>
    </w:p>
    <w:p w14:paraId="00000762" w14:textId="77777777" w:rsidR="009F1887" w:rsidRDefault="00790D5B">
      <w:pPr>
        <w:spacing w:after="0"/>
        <w:jc w:val="both"/>
        <w:rPr>
          <w:rFonts w:ascii="Times New Roman" w:eastAsia="Times New Roman" w:hAnsi="Times New Roman" w:cs="Times New Roman"/>
          <w:sz w:val="20"/>
          <w:szCs w:val="20"/>
        </w:rPr>
      </w:pPr>
      <w:r>
        <w:rPr>
          <w:rFonts w:ascii="Times New Roman" w:eastAsia="Times New Roman" w:hAnsi="Times New Roman" w:cs="Times New Roman"/>
        </w:rPr>
        <w:t>The law does not explicitly require the employer to maintain training records. Trainings on occupational health and safety are delivered at employer’s expense, and the time spend in training counts as working hours.</w:t>
      </w:r>
      <w:r>
        <w:rPr>
          <w:rFonts w:ascii="Times New Roman" w:eastAsia="Times New Roman" w:hAnsi="Times New Roman" w:cs="Times New Roman"/>
          <w:sz w:val="20"/>
          <w:szCs w:val="20"/>
        </w:rPr>
        <w:t xml:space="preserve"> </w:t>
      </w:r>
    </w:p>
    <w:p w14:paraId="00000763" w14:textId="77777777" w:rsidR="009F1887" w:rsidRDefault="009F1887">
      <w:pPr>
        <w:spacing w:after="0"/>
        <w:jc w:val="both"/>
        <w:rPr>
          <w:rFonts w:ascii="Times New Roman" w:eastAsia="Times New Roman" w:hAnsi="Times New Roman" w:cs="Times New Roman"/>
        </w:rPr>
      </w:pPr>
    </w:p>
    <w:p w14:paraId="00000764"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Subject to the size of the workplace, the employer is also responsible to provide the following information to its employees and employee representatives on: a) occupational risks and hazardous industrial factors which are specific to the workplace and which may potentially cause impact on health of employees and measures taken by the employee for prevention purposes; b) emergency situations, evacuation plans and activities to be carried out in the event of increased danger, as well as procedures and measures to be followed during accidents and fire; c) prohibitions on entering the premises, remaining in the premises or carrying out work, which may pose risk for life and/or health of employees.</w:t>
      </w:r>
    </w:p>
    <w:p w14:paraId="00000765" w14:textId="77777777" w:rsidR="009F1887" w:rsidRDefault="009F1887">
      <w:pPr>
        <w:spacing w:after="0"/>
        <w:jc w:val="both"/>
        <w:rPr>
          <w:rFonts w:ascii="Times New Roman" w:eastAsia="Times New Roman" w:hAnsi="Times New Roman" w:cs="Times New Roman"/>
        </w:rPr>
      </w:pPr>
    </w:p>
    <w:p w14:paraId="00000766" w14:textId="77777777" w:rsidR="009F1887" w:rsidRDefault="00790D5B">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Employers can restrict access to workplace to the employee who is under the influence of alcohol, drug or psychotropic substances. </w:t>
      </w:r>
    </w:p>
    <w:p w14:paraId="00000767" w14:textId="77777777" w:rsidR="009F1887" w:rsidRDefault="009F1887">
      <w:pPr>
        <w:pBdr>
          <w:top w:val="nil"/>
          <w:left w:val="nil"/>
          <w:bottom w:val="nil"/>
          <w:right w:val="nil"/>
          <w:between w:val="nil"/>
        </w:pBdr>
        <w:spacing w:after="0"/>
        <w:rPr>
          <w:rFonts w:ascii="Times New Roman" w:eastAsia="Times New Roman" w:hAnsi="Times New Roman" w:cs="Times New Roman"/>
          <w:color w:val="000000"/>
        </w:rPr>
      </w:pPr>
    </w:p>
    <w:p w14:paraId="00000768"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Reporting on accidents, fatalities, injuries</w:t>
      </w:r>
    </w:p>
    <w:p w14:paraId="00000769"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employer is responsible to record accidents, instances of professional diseases and dangerous accidents and provide such information to employees or their representatives upon request (LS Article 5.1).  Initially the reporting obligation of accidents rests with employees, who are responsible to notify the employer of the accident immediately along with any relevant material information about the accident. The employer is then obliged to take immediate necessary measures in order to prevent further threat to health and life; preserve the workplace where the accident took place for formal investigation purposes, unless it is necessary to take measures to further protect life and health of workers or to prevent serious economic loss. During the first 24 hours from the accident, the employer should notify the relevant authorities including respective trade unions and employee representatives; law enforcement bodies (police) and Labor Inspectorate in cases of medium, severe, fatal and mass accidents. </w:t>
      </w:r>
    </w:p>
    <w:p w14:paraId="0000076A"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The employer also has the  responsibility to keep a log of accidents and occupational diseases at workplaces.</w:t>
      </w:r>
    </w:p>
    <w:p w14:paraId="0000076B"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In addition, the employer should keep evidence about medium gravity accidents, severe, fatal and massive accidents, which should contain data required for accurate description of accident if consequences of accident show up at a later stage.  </w:t>
      </w:r>
    </w:p>
    <w:p w14:paraId="0000076C" w14:textId="77777777" w:rsidR="009F1887" w:rsidRDefault="009F1887">
      <w:pPr>
        <w:spacing w:after="0"/>
        <w:jc w:val="both"/>
        <w:rPr>
          <w:rFonts w:ascii="Times New Roman" w:eastAsia="Times New Roman" w:hAnsi="Times New Roman" w:cs="Times New Roman"/>
        </w:rPr>
      </w:pPr>
    </w:p>
    <w:p w14:paraId="0000076D"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Provision of workers’ insurance in instances of injuries, fatalities disability and disease</w:t>
      </w:r>
    </w:p>
    <w:p w14:paraId="0000076E" w14:textId="77777777" w:rsidR="009F1887" w:rsidRDefault="00790D5B">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76F"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LS Article 5.9  requires the employer to provide workers with insurance against accidents at employer’s expense. This obligation applies only to workers who are employed in heavy, hazardous and dangerous works, as pre-defined by bylaw issued by the Minister of Labor. The provision does not specify the instances as to accidents, fatalities, disabilities or injuries and is limited to accidents only. Accident is defined as an accident which took place during the working process or in connection to the working processes and which resulted in a health injury to the worker or a third person, limitation or loss of work ability, fatality case or declaration that the worker or other persons are missing. The employee is entitled to compensation for the damage as a result of the accident at a workplace, including professional injury. </w:t>
      </w:r>
    </w:p>
    <w:p w14:paraId="00000770"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(LS Article 10.1.e)</w:t>
      </w:r>
    </w:p>
    <w:p w14:paraId="00000771" w14:textId="77777777" w:rsidR="009F1887" w:rsidRDefault="009F1887">
      <w:pPr>
        <w:spacing w:after="0"/>
        <w:jc w:val="both"/>
        <w:rPr>
          <w:rFonts w:ascii="Times New Roman" w:eastAsia="Times New Roman" w:hAnsi="Times New Roman" w:cs="Times New Roman"/>
        </w:rPr>
      </w:pPr>
    </w:p>
    <w:p w14:paraId="00000772"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However, the employer is exempted from liability, if the accident at the workplace was caused by circumstances which could not have been considered in advance or if it was beyond the control of the employer, or because of the predictable circumstances, which could not be prevented despite employer’s attempts (LS Article 5.13). The law is not explicit if in this case the insurance would still pay damages. </w:t>
      </w:r>
    </w:p>
    <w:p w14:paraId="00000773" w14:textId="77777777" w:rsidR="009F1887" w:rsidRDefault="009F1887">
      <w:pPr>
        <w:spacing w:after="0"/>
        <w:jc w:val="both"/>
        <w:rPr>
          <w:rFonts w:ascii="Times New Roman" w:eastAsia="Times New Roman" w:hAnsi="Times New Roman" w:cs="Times New Roman"/>
          <w:sz w:val="20"/>
          <w:szCs w:val="20"/>
        </w:rPr>
      </w:pPr>
    </w:p>
    <w:p w14:paraId="00000774"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Preventive and protective measures</w:t>
      </w:r>
    </w:p>
    <w:p w14:paraId="00000775"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At all stages of work the employer should assess risk and take necessary steps to eliminate or reduce risks to health by: a) making sure that the existing risks are being avoided;  b) evaluating those risks and threats, which cannot be avoided;  c) making sure that the risk factors are eliminated or reduced;  d) given the possibility, replacing the risk factors with safe or less dangerous factors;  e) elaborating a consistent safety policy of the preventive measure;  f) adapting working environment to provide safe conditions for workers;  g) ensuring uninterrupted and proper functioning of protection and control system;  h) equipping the employees/other persons present at the workplace  with necessary effective individual protection gear free of charge to protect their life or health, and ensure they are clean and in proper technical operational mode;  i) ensuring preventive and periodic medical check-up of the employees; and</w:t>
      </w:r>
    </w:p>
    <w:p w14:paraId="00000776"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j) restricting those employees from entering workplace who are under alcohol or drug influence (LS Article 6)</w:t>
      </w:r>
    </w:p>
    <w:p w14:paraId="00000777" w14:textId="77777777" w:rsidR="009F1887" w:rsidRDefault="009F1887">
      <w:pPr>
        <w:spacing w:after="0"/>
        <w:jc w:val="both"/>
        <w:rPr>
          <w:rFonts w:ascii="Times New Roman" w:eastAsia="Times New Roman" w:hAnsi="Times New Roman" w:cs="Times New Roman"/>
          <w:sz w:val="20"/>
          <w:szCs w:val="20"/>
        </w:rPr>
      </w:pPr>
    </w:p>
    <w:p w14:paraId="00000778"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First aid facilities and fire safety </w:t>
      </w:r>
    </w:p>
    <w:p w14:paraId="00000779" w14:textId="77777777" w:rsidR="009F1887" w:rsidRDefault="00790D5B">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is obliged to implement necessary measures in order to provide first aid, fire safety and evacuation, as well as establish immediate communication with emergency, ambulance services and respective authorities.  The employer does not have the right to request an employee and other persons present in the work area to continue working  as long as the increased or imminent threat is present.  Employees shall not be put in the disadvantaged position for leaving work area and/or territory under the risk during the increased threat and should be protected from the negative consequences (LS Article 8). </w:t>
      </w:r>
    </w:p>
    <w:p w14:paraId="0000077A" w14:textId="77777777" w:rsidR="009F1887" w:rsidRDefault="009F1887">
      <w:pPr>
        <w:spacing w:after="0"/>
        <w:jc w:val="both"/>
        <w:rPr>
          <w:rFonts w:ascii="Times New Roman" w:eastAsia="Times New Roman" w:hAnsi="Times New Roman" w:cs="Times New Roman"/>
          <w:sz w:val="20"/>
          <w:szCs w:val="20"/>
        </w:rPr>
      </w:pPr>
    </w:p>
    <w:p w14:paraId="0000077B"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OHS risks which may be specific to female workers</w:t>
      </w:r>
    </w:p>
    <w:p w14:paraId="0000077C" w14:textId="77777777" w:rsidR="009F1887" w:rsidRDefault="009F1887">
      <w:pPr>
        <w:spacing w:after="0"/>
        <w:jc w:val="both"/>
        <w:rPr>
          <w:rFonts w:ascii="Times New Roman" w:eastAsia="Times New Roman" w:hAnsi="Times New Roman" w:cs="Times New Roman"/>
          <w:sz w:val="20"/>
          <w:szCs w:val="20"/>
        </w:rPr>
      </w:pPr>
    </w:p>
    <w:p w14:paraId="0000077D"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Article 5.7.  prohibits the employer from employing pregnant women or women who are breastfeeding, in positions, which may bear high risk or/and be harmful for the mother or child. The list of such jobs is determined by separate bylaw passed by the Minister of Labor in consultations with Tripartite Commission.</w:t>
      </w:r>
    </w:p>
    <w:p w14:paraId="0000077E" w14:textId="77777777" w:rsidR="009F1887" w:rsidRDefault="009F1887">
      <w:pPr>
        <w:spacing w:after="0"/>
        <w:jc w:val="both"/>
        <w:rPr>
          <w:rFonts w:ascii="Times New Roman" w:eastAsia="Times New Roman" w:hAnsi="Times New Roman" w:cs="Times New Roman"/>
          <w:u w:val="single"/>
        </w:rPr>
      </w:pPr>
    </w:p>
    <w:p w14:paraId="0000077F"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Right and responsibility to report unsafe situation, right to leave the workplace and prohibition of retaliation for reporting </w:t>
      </w:r>
    </w:p>
    <w:p w14:paraId="00000780" w14:textId="77777777" w:rsidR="009F1887" w:rsidRDefault="009F1887">
      <w:pPr>
        <w:spacing w:after="0"/>
        <w:jc w:val="both"/>
        <w:rPr>
          <w:rFonts w:ascii="Times New Roman" w:eastAsia="Times New Roman" w:hAnsi="Times New Roman" w:cs="Times New Roman"/>
          <w:u w:val="single"/>
        </w:rPr>
      </w:pPr>
    </w:p>
    <w:p w14:paraId="00000781"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Employees are responsible for reporting the unsafe situations to employers, including accidents and they are granted a right to report to occupational safety officer, labor inspectorate or employee representative if occupational health and safety regulations are not duly complied with (LS Article 10.1).</w:t>
      </w:r>
    </w:p>
    <w:p w14:paraId="00000782"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Employees have a right to refuse to perform task or instruction assigned by the employer, which is in contradiction with law, or which due to breach of occupational safety and health regulations may trigger risk for employees. Employees are  entitled to leave the workplace in the event of danger.(LS Article 10.1).</w:t>
      </w:r>
    </w:p>
    <w:p w14:paraId="00000783"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It is forbidden to dismiss an employee from their job, or to place them in a less advantageous position compared to other employees if such employees exercise rights of reporting or leaving the workplace during the threat of danger (LS Article 10.2).</w:t>
      </w:r>
    </w:p>
    <w:p w14:paraId="00000784" w14:textId="77777777" w:rsidR="009F1887" w:rsidRDefault="009F1887">
      <w:pPr>
        <w:spacing w:after="0"/>
        <w:jc w:val="both"/>
        <w:rPr>
          <w:rFonts w:ascii="Times New Roman" w:eastAsia="Times New Roman" w:hAnsi="Times New Roman" w:cs="Times New Roman"/>
          <w:b/>
        </w:rPr>
      </w:pPr>
    </w:p>
    <w:p w14:paraId="00000785"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Collaboration and consultations with project workers on OHS</w:t>
      </w:r>
    </w:p>
    <w:p w14:paraId="00000786" w14:textId="77777777" w:rsidR="009F1887" w:rsidRDefault="009F1887">
      <w:pPr>
        <w:spacing w:after="0"/>
        <w:jc w:val="both"/>
        <w:rPr>
          <w:rFonts w:ascii="Times New Roman" w:eastAsia="Times New Roman" w:hAnsi="Times New Roman" w:cs="Times New Roman"/>
          <w:sz w:val="20"/>
          <w:szCs w:val="20"/>
          <w:u w:val="single"/>
        </w:rPr>
      </w:pPr>
    </w:p>
    <w:p w14:paraId="00000787"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Article 9 of the law is entirely dedicated to consultations and participations of employees in the issues of occupational health and safety. The employer has to make sure that employees and/or their representative are involved in the resolution of the issues, by holding consultations with them and granting employees with the right to bring up an issue of concern. The law recognizes the right of employees to elect a representative in order to participate in consultations on occupational safety and health.</w:t>
      </w:r>
    </w:p>
    <w:p w14:paraId="00000788" w14:textId="77777777" w:rsidR="009F1887" w:rsidRDefault="009F1887">
      <w:pPr>
        <w:spacing w:after="0"/>
        <w:jc w:val="both"/>
        <w:rPr>
          <w:rFonts w:ascii="Times New Roman" w:eastAsia="Times New Roman" w:hAnsi="Times New Roman" w:cs="Times New Roman"/>
        </w:rPr>
      </w:pPr>
    </w:p>
    <w:p w14:paraId="00000789" w14:textId="77777777" w:rsidR="009F1887" w:rsidRDefault="00790D5B">
      <w:pPr>
        <w:spacing w:after="0"/>
        <w:jc w:val="both"/>
        <w:rPr>
          <w:rFonts w:ascii="Times New Roman" w:eastAsia="Times New Roman" w:hAnsi="Times New Roman" w:cs="Times New Roman"/>
        </w:rPr>
      </w:pPr>
      <w:bookmarkStart w:id="713" w:name="_heading=h.1v1yuxt" w:colFirst="0" w:colLast="0"/>
      <w:bookmarkEnd w:id="713"/>
      <w:r>
        <w:rPr>
          <w:rFonts w:ascii="Times New Roman" w:eastAsia="Times New Roman" w:hAnsi="Times New Roman" w:cs="Times New Roman"/>
        </w:rPr>
        <w:t>In the event that employees of several workplaces work together, each employer involved in this work process is to cooperate with other employers with regards to compliance with occupational health and safety regulations as well as hygiene norms. The employers should also ensure the coordination of their activities according to the specifics of the work, with regards to the occupational health and safety risk prevention. Employers should also exchange and share relevant information regarding health and safety and professional risks. And finally, it should be ensured that employees and representatives of employees are duly informed of relevant issues (LS Article 5.8)</w:t>
      </w:r>
    </w:p>
    <w:p w14:paraId="0000078A" w14:textId="77777777" w:rsidR="009F1887" w:rsidRDefault="009F1887">
      <w:pPr>
        <w:spacing w:after="0"/>
        <w:jc w:val="both"/>
        <w:rPr>
          <w:rFonts w:ascii="Times New Roman" w:eastAsia="Times New Roman" w:hAnsi="Times New Roman" w:cs="Times New Roman"/>
          <w:b/>
          <w:sz w:val="20"/>
          <w:szCs w:val="20"/>
        </w:rPr>
      </w:pPr>
    </w:p>
    <w:p w14:paraId="0000078B"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Facilities for workers </w:t>
      </w:r>
    </w:p>
    <w:p w14:paraId="0000078C"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law does not elaborate much on facilities and accommodation for workers. It is limited to general obligation of the employer to cover all the costs associated with the occupational health and safety and hygiene at workplace (LS Article 7). The law does not require separate facilities for men and women and it does not address the requirements for workers’ accommodation. </w:t>
      </w:r>
    </w:p>
    <w:p w14:paraId="0000078D" w14:textId="77777777" w:rsidR="009F1887" w:rsidRDefault="009F1887">
      <w:pPr>
        <w:spacing w:after="0"/>
        <w:jc w:val="both"/>
        <w:rPr>
          <w:rFonts w:ascii="Times New Roman" w:eastAsia="Times New Roman" w:hAnsi="Times New Roman" w:cs="Times New Roman"/>
          <w:sz w:val="20"/>
          <w:szCs w:val="20"/>
          <w:highlight w:val="red"/>
        </w:rPr>
      </w:pPr>
    </w:p>
    <w:p w14:paraId="0000078E"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System for regular OHS review</w:t>
      </w:r>
    </w:p>
    <w:p w14:paraId="0000078F" w14:textId="77777777" w:rsidR="009F1887" w:rsidRDefault="00790D5B">
      <w:pPr>
        <w:spacing w:after="0"/>
        <w:jc w:val="both"/>
        <w:rPr>
          <w:rFonts w:ascii="Times New Roman" w:eastAsia="Times New Roman" w:hAnsi="Times New Roman" w:cs="Times New Roman"/>
          <w:b/>
        </w:rPr>
      </w:pPr>
      <w:bookmarkStart w:id="714" w:name="_heading=h.4f1mdlm" w:colFirst="0" w:colLast="0"/>
      <w:bookmarkEnd w:id="714"/>
      <w:r>
        <w:rPr>
          <w:rFonts w:ascii="Times New Roman" w:eastAsia="Times New Roman" w:hAnsi="Times New Roman" w:cs="Times New Roman"/>
        </w:rPr>
        <w:t>Under a general requirement set out by Labor Safety Law, the employer has an obligation to ensure health and safety at workplace. As part of this obligation, employer needs to abide by the requirements set out by the law, make sure that employees’ health and safety is not exposed to risks of negative impact.</w:t>
      </w:r>
      <w:r>
        <w:rPr>
          <w:rFonts w:ascii="Times New Roman" w:eastAsia="Times New Roman" w:hAnsi="Times New Roman" w:cs="Times New Roman"/>
          <w:b/>
        </w:rPr>
        <w:t xml:space="preserve"> </w:t>
      </w:r>
      <w:r>
        <w:rPr>
          <w:rFonts w:ascii="Times New Roman" w:eastAsia="Times New Roman" w:hAnsi="Times New Roman" w:cs="Times New Roman"/>
        </w:rPr>
        <w:t>The law requires</w:t>
      </w:r>
      <w:r>
        <w:rPr>
          <w:rFonts w:ascii="Times New Roman" w:eastAsia="Times New Roman" w:hAnsi="Times New Roman" w:cs="Times New Roman"/>
          <w:b/>
        </w:rPr>
        <w:t xml:space="preserve"> </w:t>
      </w:r>
      <w:r>
        <w:rPr>
          <w:rFonts w:ascii="Times New Roman" w:eastAsia="Times New Roman" w:hAnsi="Times New Roman" w:cs="Times New Roman"/>
        </w:rPr>
        <w:t xml:space="preserve">the employer to regularly carry out control of safety condition of technical equipment as well as </w:t>
      </w:r>
      <w:r>
        <w:rPr>
          <w:rFonts w:ascii="Times New Roman" w:eastAsia="Times New Roman" w:hAnsi="Times New Roman" w:cs="Times New Roman"/>
        </w:rPr>
        <w:lastRenderedPageBreak/>
        <w:t>maintenance and cleaning of the individual protection gear, proper use and if needed timely replacement of it. In addition the employer should be carrying out measurement and evaluation of such factors in the work environment as: a) physical factors (including temperature, humidity, speed of the air movement, heat emission; non-ionizing  emissions; ionizing  emission; industrial noise, ultrasound, infrasound, vibration, mostly phybrogenous aerosols (dust), inadequate lighting, air (gas) ions;  b) chemical factors (including certain substances received as a result of chemical synthesis (antibiotics, vitamins, hormones, ferments, protein specimen) and/or those substances, which need the methods of chemical analysis for controlling them). The law requires employers to document occupational hazards and report on accidents. However, the law is not explicit about the requirements to document</w:t>
      </w:r>
      <w:r>
        <w:rPr>
          <w:rFonts w:ascii="Times New Roman" w:eastAsia="Times New Roman" w:hAnsi="Times New Roman" w:cs="Times New Roman"/>
          <w:b/>
        </w:rPr>
        <w:t xml:space="preserve"> </w:t>
      </w:r>
      <w:r>
        <w:rPr>
          <w:rFonts w:ascii="Times New Roman" w:eastAsia="Times New Roman" w:hAnsi="Times New Roman" w:cs="Times New Roman"/>
        </w:rPr>
        <w:t xml:space="preserve">specific incidents such as project-related occupational injuries, illnesses, and lost time injuries (LTI). </w:t>
      </w:r>
    </w:p>
    <w:p w14:paraId="00000790" w14:textId="77777777" w:rsidR="009F1887" w:rsidRDefault="009F1887">
      <w:pPr>
        <w:jc w:val="both"/>
        <w:rPr>
          <w:rFonts w:ascii="Times New Roman" w:eastAsia="Times New Roman" w:hAnsi="Times New Roman" w:cs="Times New Roman"/>
        </w:rPr>
      </w:pPr>
    </w:p>
    <w:p w14:paraId="00000791" w14:textId="77777777" w:rsidR="009F1887" w:rsidRDefault="00790D5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While the Labor Safety Law addresses the main ESS2 requirements related to occupational health and safety, the coverage of certain requirements is partial. </w:t>
      </w:r>
      <w:r>
        <w:rPr>
          <w:rFonts w:ascii="Times New Roman" w:eastAsia="Times New Roman" w:hAnsi="Times New Roman" w:cs="Times New Roman"/>
        </w:rPr>
        <w:t xml:space="preserve">The law  is applicable to all economic sectors, it does not require employers to keep the workers’ detailed OHS training records, provide facilities including access to canteens, hygiene facilities, areas for rest separate facilitates for men and women; and to document the specific incidents such as project-related occupational injuries, illnesses, and lost time injuries (LTI). </w:t>
      </w:r>
    </w:p>
    <w:p w14:paraId="00000792" w14:textId="77777777" w:rsidR="009F1887" w:rsidRDefault="009F1887">
      <w:pPr>
        <w:jc w:val="both"/>
        <w:rPr>
          <w:rFonts w:ascii="Times New Roman" w:eastAsia="Times New Roman" w:hAnsi="Times New Roman" w:cs="Times New Roman"/>
        </w:rPr>
      </w:pPr>
    </w:p>
    <w:p w14:paraId="7FEA01BE" w14:textId="77777777" w:rsidR="00483E40" w:rsidRDefault="00483E40" w:rsidP="00483E40">
      <w:pPr>
        <w:pStyle w:val="Heading2"/>
        <w:numPr>
          <w:ilvl w:val="0"/>
          <w:numId w:val="65"/>
        </w:numPr>
        <w:spacing w:before="200" w:after="200"/>
        <w:jc w:val="both"/>
        <w:rPr>
          <w:rFonts w:asciiTheme="minorHAnsi" w:hAnsiTheme="minorHAnsi"/>
        </w:rPr>
      </w:pPr>
      <w:commentRangeStart w:id="715"/>
      <w:r>
        <w:rPr>
          <w:rFonts w:asciiTheme="minorHAnsi" w:hAnsiTheme="minorHAnsi"/>
        </w:rPr>
        <w:t>RESPONSIBLE STAFF</w:t>
      </w:r>
      <w:commentRangeEnd w:id="715"/>
      <w:r>
        <w:rPr>
          <w:rStyle w:val="CommentReference"/>
          <w:rFonts w:asciiTheme="minorHAnsi" w:eastAsiaTheme="minorHAnsi" w:hAnsiTheme="minorHAnsi" w:cstheme="minorBidi"/>
          <w:b w:val="0"/>
        </w:rPr>
        <w:commentReference w:id="715"/>
      </w:r>
    </w:p>
    <w:p w14:paraId="00000794"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MoILHSA PIU shall be responsible for overall supervision and coordination for project implementation, as well as for monitoring and reporting on the project, and especially for implementation of this Environmental and Social Management Framework and the Labor Management Procedure.</w:t>
      </w:r>
    </w:p>
    <w:p w14:paraId="00000795"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MoILHSA PIU will be responsible for the following: </w:t>
      </w:r>
    </w:p>
    <w:p w14:paraId="00000796"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Implement this labor management procedure and apply its polices and procedures to project workers </w:t>
      </w:r>
    </w:p>
    <w:p w14:paraId="00000797"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Ensure that contractor(s) responsible for repair and refurbishment works, and heath care facilities  are compliant with  this labor management procedure</w:t>
      </w:r>
    </w:p>
    <w:p w14:paraId="00000798"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that the contractors are meeting obligations towards contracted and sub-contracted workers as included in the General Conditions of Contract the World Bank Standard Bidding Documents, and in line with ESS2 and national labor code </w:t>
      </w:r>
    </w:p>
    <w:p w14:paraId="00000799" w14:textId="77777777" w:rsidR="009F1887" w:rsidRDefault="00790D5B">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Maintain records of recruitment and employment process of direct workers</w:t>
      </w:r>
    </w:p>
    <w:p w14:paraId="0000079A" w14:textId="77777777" w:rsidR="009F1887" w:rsidRDefault="00790D5B">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Monitor employment process of contracted workers to ensure it is carried out in accordance with this labor management procedure and Labor Code of Georgia</w:t>
      </w:r>
    </w:p>
    <w:p w14:paraId="0000079B"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that occupational health and safety standards are met at workplaces in line with national occupational health and safety legislation, ESS2  OHS requirements and WHO and WB guidelines on COVID-19 prevention </w:t>
      </w:r>
    </w:p>
    <w:p w14:paraId="0000079C"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training of the project workers on OHS, SEA/SH prevention, and any other required trainings </w:t>
      </w:r>
    </w:p>
    <w:p w14:paraId="0000079D"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the grievance mechanism for project workers is established, monitor and report on its implementation </w:t>
      </w:r>
    </w:p>
    <w:p w14:paraId="0000079E"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Monitor implementation of the workers Code of Conduct</w:t>
      </w:r>
    </w:p>
    <w:p w14:paraId="0000079F"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Establish and implement a procedure for documenting specific incidents such as project-related occupational injuries, illnesses, and lost time accidents. Maintains such records, and requires all third parties to maintain them. Such records will form an input into the regular review of OHS performance and working conditions.</w:t>
      </w:r>
    </w:p>
    <w:p w14:paraId="000007A0"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In instances of medium, severe, fatal and mass accidents, inform the law enforcement bodies and Labor Inspectorate, and the World Bank</w:t>
      </w:r>
    </w:p>
    <w:p w14:paraId="000007A1" w14:textId="77777777" w:rsidR="009F1887" w:rsidRDefault="00790D5B">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Update this labor management procedure when necessary in the course of implementation of the project, as well as in case the domestic legislation changes in any aspects of importance for the LMP.</w:t>
      </w:r>
    </w:p>
    <w:p w14:paraId="000007A2" w14:textId="77777777" w:rsidR="009F1887" w:rsidRDefault="009F1887">
      <w:pPr>
        <w:pBdr>
          <w:top w:val="nil"/>
          <w:left w:val="nil"/>
          <w:bottom w:val="nil"/>
          <w:right w:val="nil"/>
          <w:between w:val="nil"/>
        </w:pBdr>
        <w:spacing w:after="0"/>
        <w:ind w:left="720"/>
        <w:jc w:val="both"/>
        <w:rPr>
          <w:rFonts w:ascii="Times New Roman" w:eastAsia="Times New Roman" w:hAnsi="Times New Roman" w:cs="Times New Roman"/>
          <w:color w:val="4F81BD"/>
        </w:rPr>
      </w:pPr>
    </w:p>
    <w:p w14:paraId="000007A3"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Contractors including HCF shall be responsible for the following: </w:t>
      </w:r>
    </w:p>
    <w:p w14:paraId="000007A4" w14:textId="77777777"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Ensuring compliance of their policies and procedures with national legislation on labor and OHS</w:t>
      </w:r>
    </w:p>
    <w:p w14:paraId="000007A5" w14:textId="77777777"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Ensuring compliance with this labor management procedure, including establishment and maintenance of grievance resolution mechanism for contracted workers with the requirements of this LMP;</w:t>
      </w:r>
    </w:p>
    <w:p w14:paraId="000007A6" w14:textId="77777777"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Communicating job description and employment conditions to contracted workers;</w:t>
      </w:r>
    </w:p>
    <w:p w14:paraId="000007A7" w14:textId="77777777"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Implement training of medical and non-medical staff staff on the latest WHO advice and recommendations on the COVID-19 infection prevention;</w:t>
      </w:r>
    </w:p>
    <w:p w14:paraId="000007A8" w14:textId="77777777"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Raise awareness and ensure that all workers (medical and non-medical staff) participate in trainings in mitigating the spread of COVID-19;</w:t>
      </w:r>
    </w:p>
    <w:p w14:paraId="000007A9" w14:textId="31E9C749"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Introduce and ensure that </w:t>
      </w:r>
      <w:r w:rsidR="00B8141B">
        <w:rPr>
          <w:rFonts w:ascii="Times New Roman" w:eastAsia="Times New Roman" w:hAnsi="Times New Roman" w:cs="Times New Roman"/>
        </w:rPr>
        <w:t>posters, which describe respectful behavior,</w:t>
      </w:r>
      <w:r>
        <w:rPr>
          <w:rFonts w:ascii="Times New Roman" w:eastAsia="Times New Roman" w:hAnsi="Times New Roman" w:cs="Times New Roman"/>
        </w:rPr>
        <w:t xml:space="preserve"> are placed in</w:t>
      </w:r>
      <w:r w:rsidR="00B8141B">
        <w:rPr>
          <w:rFonts w:ascii="Times New Roman" w:eastAsia="Times New Roman" w:hAnsi="Times New Roman" w:cs="Times New Roman"/>
        </w:rPr>
        <w:t xml:space="preserve"> medical/isolation (quarantine)</w:t>
      </w:r>
      <w:r>
        <w:rPr>
          <w:rFonts w:ascii="Times New Roman" w:eastAsia="Times New Roman" w:hAnsi="Times New Roman" w:cs="Times New Roman"/>
        </w:rPr>
        <w:t xml:space="preserve"> centers and address both patients and medical staff. In case of any unwelcome </w:t>
      </w:r>
      <w:r w:rsidR="00B8141B">
        <w:rPr>
          <w:rFonts w:ascii="Times New Roman" w:eastAsia="Times New Roman" w:hAnsi="Times New Roman" w:cs="Times New Roman"/>
        </w:rPr>
        <w:t>conduct,</w:t>
      </w:r>
      <w:r>
        <w:rPr>
          <w:rFonts w:ascii="Times New Roman" w:eastAsia="Times New Roman" w:hAnsi="Times New Roman" w:cs="Times New Roman"/>
        </w:rPr>
        <w:t xml:space="preserve"> the posters shall include a telephone number for reporting such incidents.</w:t>
      </w:r>
    </w:p>
    <w:p w14:paraId="000007AA" w14:textId="77777777" w:rsidR="009F1887" w:rsidRDefault="00790D5B">
      <w:pPr>
        <w:keepNext/>
        <w:numPr>
          <w:ilvl w:val="1"/>
          <w:numId w:val="31"/>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Carry out health checks of workers to prevent COVID-19</w:t>
      </w:r>
    </w:p>
    <w:p w14:paraId="000007AB" w14:textId="77777777" w:rsidR="009F1887" w:rsidRDefault="009F1887">
      <w:pPr>
        <w:keepNext/>
        <w:spacing w:after="0" w:line="240" w:lineRule="auto"/>
        <w:ind w:left="720"/>
        <w:jc w:val="both"/>
        <w:rPr>
          <w:rFonts w:ascii="Times New Roman" w:eastAsia="Times New Roman" w:hAnsi="Times New Roman" w:cs="Times New Roman"/>
        </w:rPr>
      </w:pPr>
    </w:p>
    <w:p w14:paraId="000007AC" w14:textId="77777777" w:rsidR="009F1887" w:rsidRDefault="00790D5B">
      <w:pPr>
        <w:keepNext/>
        <w:numPr>
          <w:ilvl w:val="1"/>
          <w:numId w:val="31"/>
        </w:numPr>
        <w:spacing w:after="12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Maintain records of recruitment and employment process of contracted workers </w:t>
      </w:r>
    </w:p>
    <w:p w14:paraId="000007AD" w14:textId="77777777" w:rsidR="009F1887" w:rsidRDefault="00790D5B">
      <w:pPr>
        <w:numPr>
          <w:ilvl w:val="0"/>
          <w:numId w:val="4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Communicate clearly job description and employment conditions to contracted workers and provide them with one copy of the employment contract </w:t>
      </w:r>
    </w:p>
    <w:p w14:paraId="000007AE" w14:textId="77777777" w:rsidR="009F1887" w:rsidRDefault="00790D5B">
      <w:pPr>
        <w:numPr>
          <w:ilvl w:val="0"/>
          <w:numId w:val="4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Develop, implement and maintain  workers’ grievance mechanism and address the grievance received from the contracted and sub-contracted workers</w:t>
      </w:r>
    </w:p>
    <w:p w14:paraId="000007AF" w14:textId="77777777" w:rsidR="009F1887" w:rsidRDefault="00790D5B">
      <w:pPr>
        <w:numPr>
          <w:ilvl w:val="0"/>
          <w:numId w:val="4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Have a system for regular review and reporting on labor, and occupational safety and health performance</w:t>
      </w:r>
    </w:p>
    <w:p w14:paraId="000007B0" w14:textId="77777777" w:rsidR="009F1887" w:rsidRDefault="00790D5B">
      <w:pPr>
        <w:numPr>
          <w:ilvl w:val="0"/>
          <w:numId w:val="4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Deliver regular work induction trainings including but not limited to OHS, HSE, social induction, SEA/SH prevention training to employees.</w:t>
      </w:r>
    </w:p>
    <w:p w14:paraId="000007B1" w14:textId="77777777" w:rsidR="009F1887" w:rsidRDefault="00790D5B">
      <w:pPr>
        <w:numPr>
          <w:ilvl w:val="0"/>
          <w:numId w:val="4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Establish and implement a procedure for documenting specific incidents such as project-related occupational injuries, illnesses, and lost time accidents. Maintain such records.  </w:t>
      </w:r>
    </w:p>
    <w:p w14:paraId="000007B2" w14:textId="77777777" w:rsidR="009F1887" w:rsidRDefault="00790D5B">
      <w:pPr>
        <w:numPr>
          <w:ilvl w:val="0"/>
          <w:numId w:val="40"/>
        </w:numPr>
        <w:pBdr>
          <w:top w:val="nil"/>
          <w:left w:val="nil"/>
          <w:bottom w:val="nil"/>
          <w:right w:val="nil"/>
          <w:between w:val="nil"/>
        </w:pBdr>
        <w:spacing w:after="0"/>
        <w:jc w:val="both"/>
        <w:rPr>
          <w:rFonts w:ascii="Times New Roman" w:eastAsia="Times New Roman" w:hAnsi="Times New Roman" w:cs="Times New Roman"/>
          <w:color w:val="000000"/>
        </w:rPr>
      </w:pPr>
      <w:bookmarkStart w:id="716" w:name="_heading=h.2u6wntf" w:colFirst="0" w:colLast="0"/>
      <w:bookmarkEnd w:id="716"/>
      <w:r>
        <w:rPr>
          <w:rFonts w:ascii="Times New Roman" w:eastAsia="Times New Roman" w:hAnsi="Times New Roman" w:cs="Times New Roman"/>
          <w:color w:val="000000"/>
        </w:rPr>
        <w:t xml:space="preserve">In instances of medium, severe, fatal and mass accidents, inform the law enforcement bodies and Labor Inspectorate. </w:t>
      </w:r>
    </w:p>
    <w:p w14:paraId="000007B3" w14:textId="77777777" w:rsidR="009F1887" w:rsidRDefault="00790D5B">
      <w:pPr>
        <w:numPr>
          <w:ilvl w:val="0"/>
          <w:numId w:val="40"/>
        </w:numPr>
        <w:pBdr>
          <w:top w:val="nil"/>
          <w:left w:val="nil"/>
          <w:bottom w:val="nil"/>
          <w:right w:val="nil"/>
          <w:between w:val="nil"/>
        </w:pBdr>
        <w:spacing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Monitor, supervise, and report on health and safety issues relating to COVID-19 (COVID-19 focal point).</w:t>
      </w:r>
    </w:p>
    <w:p w14:paraId="000007B4" w14:textId="77777777" w:rsidR="009F1887" w:rsidRDefault="009F1887">
      <w:pPr>
        <w:spacing w:after="0"/>
        <w:jc w:val="both"/>
        <w:rPr>
          <w:rFonts w:ascii="Times New Roman" w:eastAsia="Times New Roman" w:hAnsi="Times New Roman" w:cs="Times New Roman"/>
          <w:color w:val="000000"/>
        </w:rPr>
      </w:pPr>
    </w:p>
    <w:p w14:paraId="000007B5" w14:textId="77777777" w:rsidR="009F1887" w:rsidRDefault="00790D5B">
      <w:pPr>
        <w:pStyle w:val="Heading2"/>
        <w:numPr>
          <w:ilvl w:val="0"/>
          <w:numId w:val="65"/>
        </w:numPr>
        <w:spacing w:before="200" w:after="200"/>
        <w:ind w:left="426"/>
        <w:jc w:val="both"/>
      </w:pPr>
      <w:r>
        <w:lastRenderedPageBreak/>
        <w:t>POLICIES AND PROCEDURES</w:t>
      </w:r>
    </w:p>
    <w:p w14:paraId="000007B6" w14:textId="77777777" w:rsidR="009F1887" w:rsidRDefault="00790D5B">
      <w:pPr>
        <w:keepNext/>
        <w:spacing w:before="24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policies and procedures shall enable achievement of objectives of ESS2 and to address identified labor and OHS risks. </w:t>
      </w:r>
    </w:p>
    <w:p w14:paraId="000007B7"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As specified in Labor Code of Georgia, the employment of project workers will be based on the principles of non-discrimination and equal opportunity. There will be no discrimination with respect to any aspects of the employment relationship, such as recruitment, compensation, working conditions and terms of employment, access to training, promotion or termination of employment. The following measures will be developed by the contractors (including HCF) and monitored by the PIU and supervision consultant to ensure fair treatment of all employees:</w:t>
      </w:r>
    </w:p>
    <w:p w14:paraId="000007B8" w14:textId="77777777" w:rsidR="009F1887" w:rsidRDefault="009F1887">
      <w:pPr>
        <w:spacing w:after="0"/>
        <w:jc w:val="both"/>
        <w:rPr>
          <w:rFonts w:ascii="Times New Roman" w:eastAsia="Times New Roman" w:hAnsi="Times New Roman" w:cs="Times New Roman"/>
          <w:color w:val="4F81BD"/>
        </w:rPr>
      </w:pPr>
    </w:p>
    <w:p w14:paraId="000007B9"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As per Labor Code requirements, recruitment procedures will be transparent, public and non-discriminatory with respect to ethnicity, religion, sexual orientation, disability, gender, and other grounds included in the Labor Code.</w:t>
      </w:r>
    </w:p>
    <w:p w14:paraId="000007BA"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Applications for employment will be considered in accordance with the application procedures established by the contractors.  </w:t>
      </w:r>
    </w:p>
    <w:p w14:paraId="000007BB"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Clear job descriptions will be provided in advance of recruitment and will explain the skills required for each post.</w:t>
      </w:r>
    </w:p>
    <w:p w14:paraId="000007BC"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workers will have written contracts describing terms and conditions of work and will have the contents explained to them. Workers will sign the employment contract. Terms and conditions of employment will be available at work sites. </w:t>
      </w:r>
    </w:p>
    <w:p w14:paraId="000007BD"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All project workers are entitled to a regular salary, as well as to compensation of salary for periods of absence from work or specific conditions of work (nighttime work, overtime work, work during holidays, etc.</w:t>
      </w:r>
    </w:p>
    <w:p w14:paraId="000007BE"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All project workers are entitled to rest during working hours, daily rest, weekly rest and annual holidays as prescribed under the law;</w:t>
      </w:r>
    </w:p>
    <w:p w14:paraId="000007BF" w14:textId="5F387BBD"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Employees will be informed at least two months before their expected release date of the coming termination.  If more than 100 workers will be terminated within 15 da</w:t>
      </w:r>
      <w:r w:rsidR="00B8141B">
        <w:rPr>
          <w:rFonts w:ascii="Times New Roman" w:eastAsia="Times New Roman" w:hAnsi="Times New Roman" w:cs="Times New Roman"/>
          <w:color w:val="000000"/>
        </w:rPr>
        <w:t>ys period, the contractors will</w:t>
      </w:r>
      <w:r>
        <w:rPr>
          <w:rFonts w:ascii="Times New Roman" w:eastAsia="Times New Roman" w:hAnsi="Times New Roman" w:cs="Times New Roman"/>
          <w:color w:val="000000"/>
        </w:rPr>
        <w:t xml:space="preserve"> notify in writing the Ministry of Labor, Health, and Social Affairs of Georgia at least 45 calendar days before retrenchment.</w:t>
      </w:r>
    </w:p>
    <w:p w14:paraId="000007C0"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personnel engaged in the project must be of the age of 18 years or more. </w:t>
      </w:r>
    </w:p>
    <w:p w14:paraId="000007C1"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Contractors and HCF shall implement measures of protection at work and organization of training for workers in accordance with WHO guidelines;</w:t>
      </w:r>
    </w:p>
    <w:p w14:paraId="000007C2"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HCF shall place posters on hand hygiene at the entrance to the workplace and other areas (such as canteens, meeting rooms, etc.);</w:t>
      </w:r>
    </w:p>
    <w:p w14:paraId="000007C3"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Contractors and HCF shall provide workers and visitors with easily accessible places where they can wash or disinfect their hands;</w:t>
      </w:r>
    </w:p>
    <w:p w14:paraId="000007C4"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Contractors and HCF shall enforce PPE guidelines, provide workers with task-appropriate PPE and consider not to assign senior workers and workers with serious chronic medical conditions to front-line work;</w:t>
      </w:r>
    </w:p>
    <w:p w14:paraId="000007C5"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Contractors and HCF monitor and assess physical and mental health of workers;</w:t>
      </w:r>
    </w:p>
    <w:p w14:paraId="000007C6"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Work shall be organized in a way to allow for physical distancing of at least 2 meters from other people, if possible;</w:t>
      </w:r>
    </w:p>
    <w:p w14:paraId="000007C7" w14:textId="77777777" w:rsidR="009F1887" w:rsidRDefault="00790D5B">
      <w:pPr>
        <w:numPr>
          <w:ilvl w:val="0"/>
          <w:numId w:val="4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Organize virtual meetings/trainings instead of face-to-face meetings/trainings;</w:t>
      </w:r>
    </w:p>
    <w:p w14:paraId="000007C8"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Obtain adequate supplies of medical PPE, including gowns, aprons, curtains; medical masks and respirators (N95 or FFP2); gloves (medical, and heavy duty for cleaners); eye protection (goggles or face screens); hand washing soap and sanitizer; and effective cleaning equipment. Where relevant PPE cannot be obtained, the plan should consider viable alternatives, such as cloth masks, alcohol-based cleansers, hot water for cleaning and extra handwashing facilities, until such time as the supplies are available </w:t>
      </w:r>
    </w:p>
    <w:p w14:paraId="000007C9"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Train medical staff on the latest WHO advice and recommendations on the specifics of COVID-19</w:t>
      </w:r>
    </w:p>
    <w:p w14:paraId="000007CA"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Conduct enhanced cleaning arrangements, including thorough cleaning (using adequate disinfectant) of catering facilities/canteens/food/drink facilities, latrines/toilets/showers, common areas, including door handles, floors and all surfaces that are touched regularly</w:t>
      </w:r>
    </w:p>
    <w:p w14:paraId="000007CB"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Train and provide cleaning staff with adequate PPE when cleaning consultation rooms and facilities used to treat infected patients</w:t>
      </w:r>
    </w:p>
    <w:p w14:paraId="000007CC"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 a communication strategy/plan to support regular communication, accessible updates and clear messaging to health workers, regarding the spread of COVID-19 in nearby locations, the latest facts and statistics, and applicable procedures.</w:t>
      </w:r>
    </w:p>
    <w:p w14:paraId="000007CD" w14:textId="77777777" w:rsidR="009F1887" w:rsidRDefault="00790D5B">
      <w:pPr>
        <w:numPr>
          <w:ilvl w:val="0"/>
          <w:numId w:val="41"/>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The Borrower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 but no later than three calendar days after the occurrence of the event. Such events can include strikes or other labor protests, serious worker injuries or fatalities, project-caused injuries to community members or property damage. The Borrower will prepare a report on the event and the corrective action and submit to the Bank within 30 calendar days of the event.</w:t>
      </w:r>
    </w:p>
    <w:p w14:paraId="000007CE"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contractors will be required to provide the periodic information on the performance in terms of labor, occupational health and safety issues. </w:t>
      </w:r>
    </w:p>
    <w:p w14:paraId="000007CF" w14:textId="77777777" w:rsidR="009F1887" w:rsidRDefault="00790D5B">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the contractor shall report to the Borrower about any inspections and audits carried out by the respective ministries such as the Labor Inspection. The findings of the labor audits will be presented to the Borrower and the Bank, if requested. </w:t>
      </w:r>
    </w:p>
    <w:p w14:paraId="000007D0" w14:textId="77777777" w:rsidR="009F1887" w:rsidRDefault="009F1887">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7D1" w14:textId="77777777" w:rsidR="009F1887" w:rsidRDefault="009F1887">
      <w:pPr>
        <w:spacing w:after="0"/>
        <w:jc w:val="both"/>
        <w:rPr>
          <w:rFonts w:ascii="Times New Roman" w:eastAsia="Times New Roman" w:hAnsi="Times New Roman" w:cs="Times New Roman"/>
        </w:rPr>
      </w:pPr>
    </w:p>
    <w:p w14:paraId="000007D3" w14:textId="50811044" w:rsidR="009F1887" w:rsidRDefault="00483E40">
      <w:pPr>
        <w:spacing w:after="0"/>
        <w:jc w:val="both"/>
        <w:rPr>
          <w:rFonts w:ascii="Times New Roman" w:eastAsia="Times New Roman" w:hAnsi="Times New Roman" w:cs="Times New Roman"/>
          <w:color w:val="4F81BD"/>
        </w:rPr>
      </w:pPr>
      <w:commentRangeStart w:id="717"/>
      <w:r>
        <w:rPr>
          <w:b/>
          <w:bCs/>
        </w:rPr>
        <w:t xml:space="preserve">COVID-19 prevention measures </w:t>
      </w:r>
      <w:commentRangeEnd w:id="717"/>
      <w:r>
        <w:rPr>
          <w:rStyle w:val="CommentReference"/>
        </w:rPr>
        <w:commentReference w:id="717"/>
      </w:r>
    </w:p>
    <w:p w14:paraId="000007D4" w14:textId="77777777" w:rsidR="009F1887" w:rsidRDefault="00790D5B">
      <w:pPr>
        <w:numPr>
          <w:ilvl w:val="0"/>
          <w:numId w:val="24"/>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ASSESSING WORKFORCE CHARACTERISTICS</w:t>
      </w:r>
    </w:p>
    <w:p w14:paraId="000007D5" w14:textId="77777777" w:rsidR="009F1887" w:rsidRDefault="009F1887">
      <w:pPr>
        <w:spacing w:after="0" w:line="240" w:lineRule="auto"/>
        <w:ind w:left="360"/>
        <w:jc w:val="both"/>
        <w:rPr>
          <w:rFonts w:ascii="Times New Roman" w:eastAsia="Times New Roman" w:hAnsi="Times New Roman" w:cs="Times New Roman"/>
          <w:b/>
        </w:rPr>
      </w:pPr>
    </w:p>
    <w:p w14:paraId="000007D6" w14:textId="77777777" w:rsidR="009F1887" w:rsidRDefault="00790D5B">
      <w:pPr>
        <w:numPr>
          <w:ilvl w:val="0"/>
          <w:numId w:val="23"/>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The Contractor should prepare a detailed profile of the project work force, key work activities, schedule for carrying out such activities, different durations of contract and rotations (e.g. 4 weeks on, 4 weeks off). </w:t>
      </w:r>
    </w:p>
    <w:p w14:paraId="000007D7" w14:textId="77777777" w:rsidR="009F1887" w:rsidRDefault="00790D5B">
      <w:pPr>
        <w:numPr>
          <w:ilvl w:val="0"/>
          <w:numId w:val="23"/>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w:t>
      </w:r>
    </w:p>
    <w:p w14:paraId="000007D8" w14:textId="77777777" w:rsidR="009F1887" w:rsidRDefault="00790D5B">
      <w:pPr>
        <w:numPr>
          <w:ilvl w:val="0"/>
          <w:numId w:val="23"/>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Consideration should be given to ways in which to minimize movement in and out of site. This could include lengthening the term of existing contracts, to avoid workers returning home to affected areas, or returning to site from affected areas.</w:t>
      </w:r>
    </w:p>
    <w:p w14:paraId="000007D9" w14:textId="77777777" w:rsidR="009F1887" w:rsidRDefault="00790D5B">
      <w:pPr>
        <w:numPr>
          <w:ilvl w:val="0"/>
          <w:numId w:val="2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Workers accommodated on site should be required to minimize contact with people near the site, and in certain cases be prohibited from leaving the site for the duration of their contract, so that contact with local communities is avoided. </w:t>
      </w:r>
    </w:p>
    <w:p w14:paraId="000007DA" w14:textId="77777777" w:rsidR="009F1887" w:rsidRDefault="00790D5B">
      <w:pPr>
        <w:numPr>
          <w:ilvl w:val="0"/>
          <w:numId w:val="23"/>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Consideration should be given to requiring workers lodging in the local community to move to site accommodation (subject to availability) where they would be subject to the same restrictions. </w:t>
      </w:r>
    </w:p>
    <w:p w14:paraId="000007DB" w14:textId="77777777" w:rsidR="009F1887" w:rsidRDefault="00790D5B">
      <w:pPr>
        <w:numPr>
          <w:ilvl w:val="0"/>
          <w:numId w:val="23"/>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w:t>
      </w:r>
    </w:p>
    <w:p w14:paraId="000007DC" w14:textId="77777777" w:rsidR="009F1887" w:rsidRDefault="009F1887">
      <w:pPr>
        <w:spacing w:after="0" w:line="240" w:lineRule="auto"/>
        <w:jc w:val="both"/>
        <w:rPr>
          <w:rFonts w:ascii="Times New Roman" w:eastAsia="Times New Roman" w:hAnsi="Times New Roman" w:cs="Times New Roman"/>
          <w:b/>
        </w:rPr>
      </w:pPr>
    </w:p>
    <w:p w14:paraId="000007DD"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ENTRY/EXIT TO THE WORK SITE AND CHECKS ON COMMENCEMENT OF WORK</w:t>
      </w:r>
    </w:p>
    <w:p w14:paraId="000007DE" w14:textId="77777777" w:rsidR="009F1887" w:rsidRDefault="009F1887">
      <w:pPr>
        <w:spacing w:after="0" w:line="240" w:lineRule="auto"/>
        <w:ind w:left="720"/>
        <w:jc w:val="both"/>
        <w:rPr>
          <w:rFonts w:ascii="Times New Roman" w:eastAsia="Times New Roman" w:hAnsi="Times New Roman" w:cs="Times New Roman"/>
        </w:rPr>
      </w:pPr>
    </w:p>
    <w:p w14:paraId="000007DF" w14:textId="77777777" w:rsidR="009F1887" w:rsidRDefault="00790D5B">
      <w:pPr>
        <w:spacing w:after="160" w:line="240" w:lineRule="auto"/>
        <w:jc w:val="both"/>
        <w:rPr>
          <w:rFonts w:ascii="Times New Roman" w:eastAsia="Times New Roman" w:hAnsi="Times New Roman" w:cs="Times New Roman"/>
        </w:rPr>
      </w:pPr>
      <w:r>
        <w:rPr>
          <w:rFonts w:ascii="Times New Roman" w:eastAsia="Times New Roman" w:hAnsi="Times New Roman" w:cs="Times New Roman"/>
        </w:rPr>
        <w:t>Entry/exit to the work site should be controlled and documented for both workers and other parties, including support staff and suppliers. Possible measures may include:</w:t>
      </w:r>
    </w:p>
    <w:p w14:paraId="000007E0"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Establishing a system for controlling entry/exit to the site, securing the boundaries of the site, and establishing designating entry/exit points (if they do not already exist). Entry/exit to the site should be documented.</w:t>
      </w:r>
    </w:p>
    <w:p w14:paraId="000007E1"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Training security staff on the (enhanced) system that has been put in place for securing the site and controlling entry and exit, the behaviors required of them in enforcing such system and any COVID -19 specific considerations.  </w:t>
      </w:r>
    </w:p>
    <w:p w14:paraId="000007E2"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Training staff who will be monitoring entry to the site, providing them with the resources they need to document entry of workers, conducting temperature checks and recording details of any worker that is denied entry.</w:t>
      </w:r>
    </w:p>
    <w:p w14:paraId="000007E3"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000007E4"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Checking and recording temperatures of workers and other people entering the site or requiring self-reporting prior to or on entering the site.</w:t>
      </w:r>
    </w:p>
    <w:p w14:paraId="000007E5"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Providing daily briefings to workers prior to commencing work, focusing on COVID-19 specific considerations including cough etiquette, hand hygiene and distancing measures, using demonstrations and participatory methods.</w:t>
      </w:r>
    </w:p>
    <w:p w14:paraId="000007E6"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During the daily briefings, reminding workers to self-monitor for possible symptoms (fever, cough) and to report to their supervisor or the COVID-19 focal point if they have symptoms or are feeling unwell.</w:t>
      </w:r>
    </w:p>
    <w:p w14:paraId="000007E7"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Preventing a worker from an affected area or who has been in contact with an infected person from returning to the site for 14 days or (if that is not possible) isolating such worker for 14 days.</w:t>
      </w:r>
    </w:p>
    <w:p w14:paraId="000007E8" w14:textId="77777777" w:rsidR="009F1887" w:rsidRDefault="00790D5B">
      <w:pPr>
        <w:numPr>
          <w:ilvl w:val="0"/>
          <w:numId w:val="5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Preventing a sick worker from entering the site, referring them to local health facilities if necessary or requiring them to isolate at home for 14 days.</w:t>
      </w:r>
    </w:p>
    <w:p w14:paraId="000007E9" w14:textId="77777777" w:rsidR="009F1887" w:rsidRDefault="009F1887">
      <w:pPr>
        <w:spacing w:after="0" w:line="240" w:lineRule="auto"/>
        <w:jc w:val="both"/>
        <w:rPr>
          <w:rFonts w:ascii="Times New Roman" w:eastAsia="Times New Roman" w:hAnsi="Times New Roman" w:cs="Times New Roman"/>
        </w:rPr>
      </w:pPr>
    </w:p>
    <w:p w14:paraId="000007EA"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GENERAL HYGIENE</w:t>
      </w:r>
    </w:p>
    <w:p w14:paraId="000007EB" w14:textId="77777777" w:rsidR="009F1887" w:rsidRDefault="009F1887">
      <w:pPr>
        <w:spacing w:after="0" w:line="240" w:lineRule="auto"/>
        <w:ind w:left="720"/>
        <w:jc w:val="both"/>
        <w:rPr>
          <w:rFonts w:ascii="Times New Roman" w:eastAsia="Times New Roman" w:hAnsi="Times New Roman" w:cs="Times New Roman"/>
          <w:b/>
        </w:rPr>
      </w:pPr>
    </w:p>
    <w:p w14:paraId="000007EC"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Requirements on general hygiene should be communicated and monitored, to include:</w:t>
      </w:r>
    </w:p>
    <w:p w14:paraId="000007ED" w14:textId="77777777" w:rsidR="009F1887" w:rsidRDefault="009F1887">
      <w:pPr>
        <w:spacing w:after="0" w:line="240" w:lineRule="auto"/>
        <w:jc w:val="both"/>
        <w:rPr>
          <w:rFonts w:ascii="Times New Roman" w:eastAsia="Times New Roman" w:hAnsi="Times New Roman" w:cs="Times New Roman"/>
        </w:rPr>
      </w:pPr>
    </w:p>
    <w:p w14:paraId="000007EE" w14:textId="77777777" w:rsidR="009F1887" w:rsidRDefault="00790D5B">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Training workers and staff on site on the signs and symptoms of COVID-19, how it is spread, how to protect themselves (including regular handwashing and social distancing) and what to do if they or other people have symptoms (for further information see </w:t>
      </w:r>
      <w:hyperlink r:id="rId53">
        <w:r>
          <w:rPr>
            <w:rFonts w:ascii="Times New Roman" w:eastAsia="Times New Roman" w:hAnsi="Times New Roman" w:cs="Times New Roman"/>
            <w:color w:val="0000FF"/>
            <w:u w:val="single"/>
          </w:rPr>
          <w:t>WHO COVID-19 advice for the public</w:t>
        </w:r>
      </w:hyperlink>
      <w:r>
        <w:rPr>
          <w:rFonts w:ascii="Times New Roman" w:eastAsia="Times New Roman" w:hAnsi="Times New Roman" w:cs="Times New Roman"/>
        </w:rPr>
        <w:t>).</w:t>
      </w:r>
    </w:p>
    <w:p w14:paraId="000007EF" w14:textId="77777777" w:rsidR="009F1887" w:rsidRDefault="00790D5B">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Placing posters and signs around the site, with images and text in local languages.</w:t>
      </w:r>
    </w:p>
    <w:p w14:paraId="000007F0" w14:textId="77777777" w:rsidR="009F1887" w:rsidRDefault="00790D5B">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w:t>
      </w:r>
      <w:r>
        <w:rPr>
          <w:rFonts w:ascii="Times New Roman" w:eastAsia="Times New Roman" w:hAnsi="Times New Roman" w:cs="Times New Roman"/>
        </w:rPr>
        <w:lastRenderedPageBreak/>
        <w:t>adequate, arrangements should be made to set them up. Alcohol based sanitizer (if available, 60-95% alcohol) can also be used.</w:t>
      </w:r>
    </w:p>
    <w:p w14:paraId="000007F1" w14:textId="77777777" w:rsidR="009F1887" w:rsidRDefault="00790D5B">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Review worker accommodations, and assess them in light of  the requirements set out in  </w:t>
      </w:r>
      <w:hyperlink r:id="rId54">
        <w:r>
          <w:rPr>
            <w:rFonts w:ascii="Times New Roman" w:eastAsia="Times New Roman" w:hAnsi="Times New Roman" w:cs="Times New Roman"/>
            <w:color w:val="0000FF"/>
            <w:u w:val="single"/>
          </w:rPr>
          <w:t>IFC/EBRD guidance on Workers’ Accommodation: processes and standards</w:t>
        </w:r>
      </w:hyperlink>
      <w:r>
        <w:rPr>
          <w:rFonts w:ascii="Times New Roman" w:eastAsia="Times New Roman" w:hAnsi="Times New Roman" w:cs="Times New Roman"/>
        </w:rPr>
        <w:t>,</w:t>
      </w:r>
      <w:r>
        <w:rPr>
          <w:rFonts w:ascii="Times New Roman" w:eastAsia="Times New Roman" w:hAnsi="Times New Roman" w:cs="Times New Roman"/>
          <w:color w:val="4F81BD"/>
        </w:rPr>
        <w:t xml:space="preserve"> </w:t>
      </w:r>
      <w:r>
        <w:rPr>
          <w:rFonts w:ascii="Times New Roman" w:eastAsia="Times New Roman" w:hAnsi="Times New Roman" w:cs="Times New Roman"/>
        </w:rPr>
        <w:t xml:space="preserve">which provides valuable guidance as to good practice for accommodation. </w:t>
      </w:r>
    </w:p>
    <w:p w14:paraId="000007F2" w14:textId="77777777" w:rsidR="009F1887" w:rsidRDefault="00790D5B">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Setting aside part of worker accommodation for precautionary self-quarantine as well as more formal isolation of staff who may be infected (see paragraph (f)).</w:t>
      </w:r>
    </w:p>
    <w:p w14:paraId="000007F3" w14:textId="77777777" w:rsidR="009F1887" w:rsidRDefault="009F1887">
      <w:pPr>
        <w:spacing w:after="0" w:line="240" w:lineRule="auto"/>
        <w:jc w:val="both"/>
        <w:rPr>
          <w:rFonts w:ascii="Times New Roman" w:eastAsia="Times New Roman" w:hAnsi="Times New Roman" w:cs="Times New Roman"/>
        </w:rPr>
      </w:pPr>
    </w:p>
    <w:p w14:paraId="000007F4" w14:textId="77777777" w:rsidR="009F1887" w:rsidRDefault="009F1887">
      <w:pPr>
        <w:spacing w:after="0" w:line="240" w:lineRule="auto"/>
        <w:jc w:val="both"/>
        <w:rPr>
          <w:rFonts w:ascii="Times New Roman" w:eastAsia="Times New Roman" w:hAnsi="Times New Roman" w:cs="Times New Roman"/>
        </w:rPr>
      </w:pPr>
    </w:p>
    <w:p w14:paraId="000007F5"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CLEANING AND WASTE DISPOSAL</w:t>
      </w:r>
    </w:p>
    <w:p w14:paraId="000007F6" w14:textId="77777777" w:rsidR="009F1887" w:rsidRDefault="009F1887">
      <w:pPr>
        <w:spacing w:after="0" w:line="240" w:lineRule="auto"/>
        <w:ind w:left="720"/>
        <w:jc w:val="both"/>
        <w:rPr>
          <w:rFonts w:ascii="Times New Roman" w:eastAsia="Times New Roman" w:hAnsi="Times New Roman" w:cs="Times New Roman"/>
        </w:rPr>
      </w:pPr>
    </w:p>
    <w:p w14:paraId="000007F7"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Conduct regular and thorough cleaning of all site facilities, including offices, accommodation, canteens, common spaces. Review cleaning protocols for key construction equipment (particularly if it is being operated by different workers). This should include:</w:t>
      </w:r>
    </w:p>
    <w:p w14:paraId="000007F8" w14:textId="77777777" w:rsidR="009F1887" w:rsidRDefault="009F1887">
      <w:pPr>
        <w:spacing w:after="0" w:line="240" w:lineRule="auto"/>
        <w:jc w:val="both"/>
        <w:rPr>
          <w:rFonts w:ascii="Times New Roman" w:eastAsia="Times New Roman" w:hAnsi="Times New Roman" w:cs="Times New Roman"/>
        </w:rPr>
      </w:pPr>
    </w:p>
    <w:p w14:paraId="000007F9" w14:textId="77777777" w:rsidR="009F1887" w:rsidRDefault="00790D5B">
      <w:pPr>
        <w:numPr>
          <w:ilvl w:val="0"/>
          <w:numId w:val="1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Providing cleaning staff with adequate cleaning equipment, materials and disinfectant. </w:t>
      </w:r>
    </w:p>
    <w:p w14:paraId="000007FA" w14:textId="77777777" w:rsidR="009F1887" w:rsidRDefault="00790D5B">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Review general cleaning systems, training cleaning staff on appropriate cleaning procedures and appropriate frequency in high use or high-risk areas.</w:t>
      </w:r>
    </w:p>
    <w:p w14:paraId="000007FB" w14:textId="77777777" w:rsidR="009F1887" w:rsidRDefault="00790D5B">
      <w:pPr>
        <w:numPr>
          <w:ilvl w:val="0"/>
          <w:numId w:val="1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000007FC" w14:textId="77777777" w:rsidR="009F1887" w:rsidRDefault="00790D5B">
      <w:pPr>
        <w:numPr>
          <w:ilvl w:val="0"/>
          <w:numId w:val="1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Training cleaners in proper hygiene (including handwashing) prior to, during and after conducting cleaning activities; how to safely use PPE (where required); in waste control (including for used PPE and cleaning materials). </w:t>
      </w:r>
    </w:p>
    <w:p w14:paraId="000007FD" w14:textId="77777777" w:rsidR="009F1887" w:rsidRDefault="00790D5B">
      <w:pPr>
        <w:numPr>
          <w:ilvl w:val="0"/>
          <w:numId w:val="15"/>
        </w:numPr>
        <w:spacing w:after="0" w:line="240" w:lineRule="auto"/>
        <w:jc w:val="both"/>
        <w:rPr>
          <w:rFonts w:ascii="Times New Roman" w:eastAsia="Times New Roman" w:hAnsi="Times New Roman" w:cs="Times New Roman"/>
          <w:color w:val="4F81BD"/>
        </w:rPr>
      </w:pPr>
      <w:r>
        <w:rPr>
          <w:rFonts w:ascii="Times New Roman" w:eastAsia="Times New Roman" w:hAnsi="Times New Roman" w:cs="Times New Roman"/>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w:t>
      </w:r>
      <w:hyperlink r:id="rId55">
        <w:r>
          <w:rPr>
            <w:rFonts w:ascii="Times New Roman" w:eastAsia="Times New Roman" w:hAnsi="Times New Roman" w:cs="Times New Roman"/>
            <w:color w:val="0000FF"/>
            <w:u w:val="single"/>
          </w:rPr>
          <w:t>see WHO interim guidance on water, sanitation and waste management for COVID-19</w:t>
        </w:r>
      </w:hyperlink>
      <w:r>
        <w:rPr>
          <w:rFonts w:ascii="Times New Roman" w:eastAsia="Times New Roman" w:hAnsi="Times New Roman" w:cs="Times New Roman"/>
          <w:color w:val="0000FF"/>
          <w:u w:val="single"/>
        </w:rPr>
        <w:t>)</w:t>
      </w:r>
      <w:r>
        <w:rPr>
          <w:rFonts w:ascii="Times New Roman" w:eastAsia="Times New Roman" w:hAnsi="Times New Roman" w:cs="Times New Roman"/>
          <w:color w:val="4F81BD"/>
        </w:rPr>
        <w:t>.</w:t>
      </w:r>
    </w:p>
    <w:p w14:paraId="000007FE" w14:textId="77777777" w:rsidR="009F1887" w:rsidRDefault="009F1887">
      <w:pPr>
        <w:spacing w:after="0" w:line="240" w:lineRule="auto"/>
        <w:ind w:left="720"/>
        <w:jc w:val="both"/>
        <w:rPr>
          <w:rFonts w:ascii="Times New Roman" w:eastAsia="Times New Roman" w:hAnsi="Times New Roman" w:cs="Times New Roman"/>
        </w:rPr>
      </w:pPr>
    </w:p>
    <w:p w14:paraId="000007FF"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ADJUSTING WORK PRACTICES</w:t>
      </w:r>
    </w:p>
    <w:p w14:paraId="00000800" w14:textId="77777777" w:rsidR="009F1887" w:rsidRDefault="009F1887">
      <w:pPr>
        <w:spacing w:after="0" w:line="240" w:lineRule="auto"/>
        <w:ind w:left="360"/>
        <w:jc w:val="both"/>
        <w:rPr>
          <w:rFonts w:ascii="Times New Roman" w:eastAsia="Times New Roman" w:hAnsi="Times New Roman" w:cs="Times New Roman"/>
        </w:rPr>
      </w:pPr>
    </w:p>
    <w:p w14:paraId="00000801"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Consider changes to work processes and timings to reduce or minimize contact between workers, recognizing that this is likely to impact the project schedule. Such measures could include:</w:t>
      </w:r>
    </w:p>
    <w:p w14:paraId="00000802" w14:textId="77777777" w:rsidR="009F1887" w:rsidRDefault="009F1887">
      <w:pPr>
        <w:spacing w:after="0" w:line="240" w:lineRule="auto"/>
        <w:jc w:val="both"/>
        <w:rPr>
          <w:rFonts w:ascii="Times New Roman" w:eastAsia="Times New Roman" w:hAnsi="Times New Roman" w:cs="Times New Roman"/>
        </w:rPr>
      </w:pPr>
    </w:p>
    <w:p w14:paraId="00000803"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Decreasing the size of work teams.</w:t>
      </w:r>
    </w:p>
    <w:p w14:paraId="00000804"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Limiting the number of workers on site at any one time.</w:t>
      </w:r>
    </w:p>
    <w:p w14:paraId="00000805"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Changing to a 24-hour work rotation.</w:t>
      </w:r>
    </w:p>
    <w:p w14:paraId="00000806"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Adapting or redesigning work processes for specific work activities and tasks to enable social distancing, and training workers on these processes. </w:t>
      </w:r>
    </w:p>
    <w:p w14:paraId="00000807"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Continuing with the usual safety trainings, adding COVID-19 specific considerations. Training should include proper use of normal PPE. While as of the date of this note, general advice is that construction workers do not require COVID-19 specific PPE, this should be kept under review (for further information see </w:t>
      </w:r>
      <w:hyperlink r:id="rId56">
        <w:r>
          <w:rPr>
            <w:rFonts w:ascii="Times New Roman" w:eastAsia="Times New Roman" w:hAnsi="Times New Roman" w:cs="Times New Roman"/>
            <w:color w:val="0000FF"/>
            <w:u w:val="single"/>
          </w:rPr>
          <w:t>WHO interim guidance on rational use of personal protective equipment (PPE) for COVID-19</w:t>
        </w:r>
      </w:hyperlink>
      <w:r>
        <w:rPr>
          <w:rFonts w:ascii="Times New Roman" w:eastAsia="Times New Roman" w:hAnsi="Times New Roman" w:cs="Times New Roman"/>
        </w:rPr>
        <w:t>).</w:t>
      </w:r>
    </w:p>
    <w:p w14:paraId="00000808"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 </w:t>
      </w:r>
    </w:p>
    <w:p w14:paraId="00000809"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Arranging (where possible) for work breaks to be taken in outdoor areas within the site.</w:t>
      </w:r>
    </w:p>
    <w:p w14:paraId="0000080A"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Consider changing canteen layouts and phasing meal times to allow for social distancing and  phasing access to and/or temporarily restricting access to leisure facilities that may exist on site, including gyms.</w:t>
      </w:r>
    </w:p>
    <w:p w14:paraId="0000080B" w14:textId="77777777" w:rsidR="009F1887" w:rsidRDefault="00790D5B">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p w14:paraId="0000080C" w14:textId="77777777" w:rsidR="009F1887" w:rsidRDefault="009F1887">
      <w:pPr>
        <w:spacing w:after="0" w:line="240" w:lineRule="auto"/>
        <w:ind w:left="720"/>
        <w:jc w:val="both"/>
        <w:rPr>
          <w:rFonts w:ascii="Times New Roman" w:eastAsia="Times New Roman" w:hAnsi="Times New Roman" w:cs="Times New Roman"/>
        </w:rPr>
      </w:pPr>
    </w:p>
    <w:p w14:paraId="0000080D"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PROJECT MEDICAL SERVICES </w:t>
      </w:r>
    </w:p>
    <w:p w14:paraId="0000080E" w14:textId="77777777" w:rsidR="009F1887" w:rsidRDefault="009F1887">
      <w:pPr>
        <w:spacing w:after="0" w:line="240" w:lineRule="auto"/>
        <w:ind w:left="720"/>
        <w:jc w:val="both"/>
        <w:rPr>
          <w:rFonts w:ascii="Times New Roman" w:eastAsia="Times New Roman" w:hAnsi="Times New Roman" w:cs="Times New Roman"/>
        </w:rPr>
      </w:pPr>
    </w:p>
    <w:p w14:paraId="0000080F"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00000810" w14:textId="77777777" w:rsidR="009F1887" w:rsidRDefault="009F1887">
      <w:pPr>
        <w:spacing w:after="0" w:line="240" w:lineRule="auto"/>
        <w:ind w:left="360"/>
        <w:jc w:val="both"/>
        <w:rPr>
          <w:rFonts w:ascii="Times New Roman" w:eastAsia="Times New Roman" w:hAnsi="Times New Roman" w:cs="Times New Roman"/>
        </w:rPr>
      </w:pPr>
    </w:p>
    <w:p w14:paraId="00000811" w14:textId="77777777" w:rsidR="009F1887" w:rsidRDefault="00790D5B">
      <w:pPr>
        <w:numPr>
          <w:ilvl w:val="0"/>
          <w:numId w:val="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Expanding medical infrastructure and preparing areas where patients can be isolated. Guidance on setting up isolation facilities is set out in  </w:t>
      </w:r>
      <w:hyperlink r:id="rId57">
        <w:r>
          <w:rPr>
            <w:rFonts w:ascii="Times New Roman" w:eastAsia="Times New Roman" w:hAnsi="Times New Roman" w:cs="Times New Roman"/>
            <w:color w:val="0000FF"/>
            <w:u w:val="single"/>
          </w:rPr>
          <w:t>WHO interim guidance on considerations for quarantine of individuals in the context of containment for COVID-19</w:t>
        </w:r>
      </w:hyperlink>
      <w:r>
        <w:rPr>
          <w:rFonts w:ascii="Times New Roman" w:eastAsia="Times New Roman" w:hAnsi="Times New Roman" w:cs="Times New Roman"/>
        </w:rPr>
        <w:t>).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00000812" w14:textId="77777777" w:rsidR="009F1887" w:rsidRDefault="00790D5B">
      <w:pPr>
        <w:numPr>
          <w:ilvl w:val="0"/>
          <w:numId w:val="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Training medical staff, which should include current WHO advice on COVID-19  and recommendations on the specifics of COVID-19. Where COVID-19 infection is suspected, medical providers on site should follow </w:t>
      </w:r>
      <w:hyperlink r:id="rId58">
        <w:r>
          <w:rPr>
            <w:rFonts w:ascii="Times New Roman" w:eastAsia="Times New Roman" w:hAnsi="Times New Roman" w:cs="Times New Roman"/>
            <w:color w:val="0000FF"/>
            <w:u w:val="single"/>
          </w:rPr>
          <w:t>WHO interim guidance on infection prevention and control during health care when novel coronavirus (nCoV) infection is suspected</w:t>
        </w:r>
      </w:hyperlink>
      <w:r>
        <w:rPr>
          <w:rFonts w:ascii="Times New Roman" w:eastAsia="Times New Roman" w:hAnsi="Times New Roman" w:cs="Times New Roman"/>
        </w:rPr>
        <w:t>.</w:t>
      </w:r>
    </w:p>
    <w:p w14:paraId="00000813" w14:textId="77777777" w:rsidR="009F1887" w:rsidRDefault="00790D5B">
      <w:pPr>
        <w:numPr>
          <w:ilvl w:val="0"/>
          <w:numId w:val="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Training medical staff in testing, if testing is available.</w:t>
      </w:r>
    </w:p>
    <w:p w14:paraId="00000814" w14:textId="77777777" w:rsidR="009F1887" w:rsidRDefault="00790D5B">
      <w:pPr>
        <w:numPr>
          <w:ilvl w:val="0"/>
          <w:numId w:val="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Assessing the current stock of equipment, supplies and medicines on site, and obtaining additional stock, where required and possible. This could include medical PPE, such as gowns, aprons, medical masks, gloves, and eye protection. Refer to WHO guidance as to what is advised (for further information see </w:t>
      </w:r>
      <w:hyperlink r:id="rId59">
        <w:r>
          <w:rPr>
            <w:rFonts w:ascii="Times New Roman" w:eastAsia="Times New Roman" w:hAnsi="Times New Roman" w:cs="Times New Roman"/>
            <w:color w:val="0000FF"/>
            <w:u w:val="single"/>
          </w:rPr>
          <w:t>WHO interim guidance on rational use of personal protective equipment (PPE) for COVID-19</w:t>
        </w:r>
      </w:hyperlink>
      <w:r>
        <w:rPr>
          <w:rFonts w:ascii="Times New Roman" w:eastAsia="Times New Roman" w:hAnsi="Times New Roman" w:cs="Times New Roman"/>
        </w:rPr>
        <w:t>).</w:t>
      </w:r>
    </w:p>
    <w:p w14:paraId="00000815" w14:textId="77777777" w:rsidR="009F1887" w:rsidRDefault="00790D5B">
      <w:pPr>
        <w:numPr>
          <w:ilvl w:val="0"/>
          <w:numId w:val="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If PPE items are unavailable due to world-wide shortages, medical staff on the project should agree on alternatives and try to procure them. Alternatives that may commonly be found on constructions sites include dust masks, construction gloves and eye goggles. While these items are not recommended, they should be used as a last resort if no medical PPE is available.</w:t>
      </w:r>
    </w:p>
    <w:p w14:paraId="00000816" w14:textId="77777777" w:rsidR="009F1887" w:rsidRDefault="00790D5B">
      <w:pPr>
        <w:numPr>
          <w:ilvl w:val="0"/>
          <w:numId w:val="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 </w:t>
      </w:r>
    </w:p>
    <w:p w14:paraId="00000817" w14:textId="77777777" w:rsidR="009F1887" w:rsidRDefault="00790D5B">
      <w:pPr>
        <w:numPr>
          <w:ilvl w:val="0"/>
          <w:numId w:val="47"/>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Review existing methods for dealing with medical waste, including systems for storage and disposal (for further information see </w:t>
      </w:r>
      <w:hyperlink r:id="rId60">
        <w:r>
          <w:rPr>
            <w:rFonts w:ascii="Times New Roman" w:eastAsia="Times New Roman" w:hAnsi="Times New Roman" w:cs="Times New Roman"/>
            <w:color w:val="0000FF"/>
            <w:u w:val="single"/>
          </w:rPr>
          <w:t>WHO interim guidance on water, sanitation and waste management for COVID-19</w:t>
        </w:r>
      </w:hyperlink>
      <w:r>
        <w:rPr>
          <w:rFonts w:ascii="Times New Roman" w:eastAsia="Times New Roman" w:hAnsi="Times New Roman" w:cs="Times New Roman"/>
        </w:rPr>
        <w:t>, and</w:t>
      </w:r>
      <w:r>
        <w:rPr>
          <w:rFonts w:ascii="Times New Roman" w:eastAsia="Times New Roman" w:hAnsi="Times New Roman" w:cs="Times New Roman"/>
          <w:color w:val="4F81BD"/>
        </w:rPr>
        <w:t xml:space="preserve"> </w:t>
      </w:r>
      <w:hyperlink r:id="rId61">
        <w:r>
          <w:rPr>
            <w:rFonts w:ascii="Times New Roman" w:eastAsia="Times New Roman" w:hAnsi="Times New Roman" w:cs="Times New Roman"/>
            <w:color w:val="0000FF"/>
            <w:u w:val="single"/>
          </w:rPr>
          <w:t>WHO guidance on safe management of wastes from health-care activities</w:t>
        </w:r>
      </w:hyperlink>
      <w:r>
        <w:rPr>
          <w:rFonts w:ascii="Times New Roman" w:eastAsia="Times New Roman" w:hAnsi="Times New Roman" w:cs="Times New Roman"/>
        </w:rPr>
        <w:t>).</w:t>
      </w:r>
    </w:p>
    <w:p w14:paraId="00000818" w14:textId="77777777" w:rsidR="009F1887" w:rsidRDefault="009F1887">
      <w:pPr>
        <w:spacing w:after="0" w:line="240" w:lineRule="auto"/>
        <w:jc w:val="both"/>
        <w:rPr>
          <w:rFonts w:ascii="Times New Roman" w:eastAsia="Times New Roman" w:hAnsi="Times New Roman" w:cs="Times New Roman"/>
          <w:b/>
        </w:rPr>
      </w:pPr>
    </w:p>
    <w:p w14:paraId="00000819" w14:textId="77777777" w:rsidR="009F1887" w:rsidRDefault="009F1887">
      <w:pPr>
        <w:spacing w:after="0" w:line="240" w:lineRule="auto"/>
        <w:jc w:val="both"/>
        <w:rPr>
          <w:rFonts w:ascii="Times New Roman" w:eastAsia="Times New Roman" w:hAnsi="Times New Roman" w:cs="Times New Roman"/>
          <w:b/>
        </w:rPr>
      </w:pPr>
    </w:p>
    <w:p w14:paraId="0000081A"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LOCAL MEDICAL AND OTHER SERVICES</w:t>
      </w:r>
    </w:p>
    <w:p w14:paraId="0000081B" w14:textId="77777777" w:rsidR="009F1887" w:rsidRDefault="009F1887">
      <w:pPr>
        <w:spacing w:after="0" w:line="240" w:lineRule="auto"/>
        <w:jc w:val="both"/>
        <w:rPr>
          <w:rFonts w:ascii="Times New Roman" w:eastAsia="Times New Roman" w:hAnsi="Times New Roman" w:cs="Times New Roman"/>
        </w:rPr>
      </w:pPr>
    </w:p>
    <w:p w14:paraId="0000081C"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Given the limited scope of project medical services, the project may need to refer sick workers to local medical services. Preparation for this includes:</w:t>
      </w:r>
    </w:p>
    <w:p w14:paraId="0000081D" w14:textId="77777777" w:rsidR="009F1887" w:rsidRDefault="009F1887">
      <w:pPr>
        <w:spacing w:after="0" w:line="240" w:lineRule="auto"/>
        <w:ind w:left="360"/>
        <w:jc w:val="both"/>
        <w:rPr>
          <w:rFonts w:ascii="Times New Roman" w:eastAsia="Times New Roman" w:hAnsi="Times New Roman" w:cs="Times New Roman"/>
        </w:rPr>
      </w:pPr>
    </w:p>
    <w:p w14:paraId="0000081E" w14:textId="77777777" w:rsidR="009F1887" w:rsidRDefault="00790D5B">
      <w:pPr>
        <w:numPr>
          <w:ilvl w:val="0"/>
          <w:numId w:val="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Obtaining information as to the resources and capacity of local medical services (e.g. number of beds, availability of trained staff and essential supplies).</w:t>
      </w:r>
    </w:p>
    <w:p w14:paraId="0000081F" w14:textId="77777777" w:rsidR="009F1887" w:rsidRDefault="00790D5B">
      <w:pPr>
        <w:numPr>
          <w:ilvl w:val="0"/>
          <w:numId w:val="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Conducting preliminary discussions with specific medical facilities, to agree what should be done in the event of ill workers needing to be referred.</w:t>
      </w:r>
    </w:p>
    <w:p w14:paraId="00000820" w14:textId="77777777" w:rsidR="009F1887" w:rsidRDefault="00790D5B">
      <w:pPr>
        <w:numPr>
          <w:ilvl w:val="0"/>
          <w:numId w:val="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00000821" w14:textId="77777777" w:rsidR="009F1887" w:rsidRDefault="00790D5B">
      <w:pPr>
        <w:numPr>
          <w:ilvl w:val="0"/>
          <w:numId w:val="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Clarifying the way in which an ill worker will be transported to the medical facility, and checking availability of such transportation.</w:t>
      </w:r>
    </w:p>
    <w:p w14:paraId="00000822" w14:textId="77777777" w:rsidR="009F1887" w:rsidRDefault="00790D5B">
      <w:pPr>
        <w:numPr>
          <w:ilvl w:val="0"/>
          <w:numId w:val="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Establishing an agreed protocol for communications with local emergency/medical services. </w:t>
      </w:r>
    </w:p>
    <w:p w14:paraId="00000823" w14:textId="77777777" w:rsidR="009F1887" w:rsidRDefault="00790D5B">
      <w:pPr>
        <w:numPr>
          <w:ilvl w:val="0"/>
          <w:numId w:val="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Agreeing with the local medical services/specific medical facilities the scope of services to be provided, the procedure for in-take of patients and (where relevant) any costs or payments that may be involved.</w:t>
      </w:r>
    </w:p>
    <w:p w14:paraId="00000824" w14:textId="77777777" w:rsidR="009F1887" w:rsidRDefault="00790D5B">
      <w:pPr>
        <w:numPr>
          <w:ilvl w:val="0"/>
          <w:numId w:val="46"/>
        </w:numPr>
        <w:spacing w:after="160" w:line="240" w:lineRule="auto"/>
        <w:jc w:val="both"/>
        <w:rPr>
          <w:rFonts w:ascii="Times New Roman" w:eastAsia="Times New Roman" w:hAnsi="Times New Roman" w:cs="Times New Roman"/>
        </w:rPr>
      </w:pPr>
      <w:r>
        <w:rPr>
          <w:rFonts w:ascii="Times New Roman" w:eastAsia="Times New Roman" w:hAnsi="Times New Roman" w:cs="Times New Roman"/>
        </w:rPr>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00000825" w14:textId="77777777" w:rsidR="009F1887" w:rsidRDefault="009F1887">
      <w:pPr>
        <w:spacing w:after="0" w:line="240" w:lineRule="auto"/>
        <w:jc w:val="both"/>
        <w:rPr>
          <w:rFonts w:ascii="Times New Roman" w:eastAsia="Times New Roman" w:hAnsi="Times New Roman" w:cs="Times New Roman"/>
        </w:rPr>
      </w:pPr>
    </w:p>
    <w:p w14:paraId="00000826"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INSTANCES OR SPREAD OF THE VIRUS</w:t>
      </w:r>
    </w:p>
    <w:p w14:paraId="00000827" w14:textId="77777777" w:rsidR="009F1887" w:rsidRDefault="009F1887">
      <w:pPr>
        <w:spacing w:after="0" w:line="240" w:lineRule="auto"/>
        <w:ind w:left="720"/>
        <w:jc w:val="both"/>
        <w:rPr>
          <w:rFonts w:ascii="Times New Roman" w:eastAsia="Times New Roman" w:hAnsi="Times New Roman" w:cs="Times New Roman"/>
        </w:rPr>
      </w:pPr>
    </w:p>
    <w:p w14:paraId="00000828"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WHO provides detailed advice on what should be done to treat a person who becomes sick or displays symptoms that could be associated with the COVID-19 virus (for further information see </w:t>
      </w:r>
      <w:hyperlink r:id="rId62">
        <w:r>
          <w:rPr>
            <w:rFonts w:ascii="Times New Roman" w:eastAsia="Times New Roman" w:hAnsi="Times New Roman" w:cs="Times New Roman"/>
            <w:color w:val="0000FF"/>
            <w:u w:val="single"/>
          </w:rPr>
          <w:t>WHO interim guidance on infection prevention and control during health care when novel coronavirus (nCoV) infection is suspected</w:t>
        </w:r>
      </w:hyperlink>
      <w:r>
        <w:rPr>
          <w:rFonts w:ascii="Times New Roman" w:eastAsia="Times New Roman" w:hAnsi="Times New Roman" w:cs="Times New Roman"/>
        </w:rPr>
        <w:t xml:space="preserve">). The project should set out risk-based procedures to be followed, with differentiated approaches based on case severity (mild, moderate, severe, critical) and risk factors (such as age, hypertension, diabetes) (for further information see </w:t>
      </w:r>
      <w:hyperlink r:id="rId63">
        <w:r>
          <w:rPr>
            <w:rFonts w:ascii="Times New Roman" w:eastAsia="Times New Roman" w:hAnsi="Times New Roman" w:cs="Times New Roman"/>
            <w:color w:val="0000FF"/>
            <w:u w:val="single"/>
          </w:rPr>
          <w:t>WHO interim guidance on operational considerations for case management of COVID-19 in health facility and community</w:t>
        </w:r>
      </w:hyperlink>
      <w:r>
        <w:rPr>
          <w:rFonts w:ascii="Times New Roman" w:eastAsia="Times New Roman" w:hAnsi="Times New Roman" w:cs="Times New Roman"/>
          <w:color w:val="0000FF"/>
          <w:u w:val="single"/>
        </w:rPr>
        <w:t>)</w:t>
      </w:r>
      <w:r>
        <w:rPr>
          <w:rFonts w:ascii="Times New Roman" w:eastAsia="Times New Roman" w:hAnsi="Times New Roman" w:cs="Times New Roman"/>
        </w:rPr>
        <w:t>. These may include the following:</w:t>
      </w:r>
    </w:p>
    <w:p w14:paraId="00000829" w14:textId="77777777" w:rsidR="009F1887" w:rsidRDefault="009F1887">
      <w:pPr>
        <w:spacing w:after="0" w:line="240" w:lineRule="auto"/>
        <w:ind w:left="360"/>
        <w:jc w:val="both"/>
        <w:rPr>
          <w:rFonts w:ascii="Times New Roman" w:eastAsia="Times New Roman" w:hAnsi="Times New Roman" w:cs="Times New Roman"/>
        </w:rPr>
      </w:pPr>
    </w:p>
    <w:p w14:paraId="0000082A"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If a worker has symptoms of COVID-19 (e.g. fever, dry cough, fatigue) the worker should be removed immediately from work activities and isolated on site.</w:t>
      </w:r>
    </w:p>
    <w:p w14:paraId="0000082B"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If testing is available on site, the worker should be tested on site. If a test is not available at site, the worker should be transported to the local health facilities to be tested (if testing is  available). </w:t>
      </w:r>
    </w:p>
    <w:p w14:paraId="0000082C"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If the test is positive for COVID-19 or no testing is available, the worker should continue to be isolated. This will either be at the work site or at home. If at home, the worker should be transported to their home in transportation provided by the project.</w:t>
      </w:r>
    </w:p>
    <w:p w14:paraId="0000082D"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0000082E"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Co-workers (i.e. workers with whom the sick worker was in close contact) should be required to stop work, and be required to quarantine themselves for 14 days, even if they have no symptoms.</w:t>
      </w:r>
    </w:p>
    <w:p w14:paraId="0000082F"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Family and other close contacts of the worker should be required to quarantine themselves for 14 days, even if they have no symptoms.</w:t>
      </w:r>
    </w:p>
    <w:p w14:paraId="00000830"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If a case of COVID-19 is confirmed in a worker on the site, visitors should be restricted from entering the site and worker groups should be isolated from each other as much as possible.</w:t>
      </w:r>
    </w:p>
    <w:p w14:paraId="00000831"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If workers live at home and has a family member who has a confirmed or suspected case of COVID-19, the worker should quarantine themselves and not be allowed on the project site for 14 days, even if they have no symptoms.</w:t>
      </w:r>
    </w:p>
    <w:p w14:paraId="00000832" w14:textId="77777777" w:rsidR="009F1887" w:rsidRDefault="00790D5B">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Workers should continue to be paid throughout periods of illness, isolation or quarantine, or if they are required to stop work, in accordance with national law.</w:t>
      </w:r>
    </w:p>
    <w:p w14:paraId="00000833" w14:textId="77777777" w:rsidR="009F1887" w:rsidRDefault="00790D5B">
      <w:pPr>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Medical care (whether on site or in a local hospital or clinic) required by a worker should be paid for by the employer.</w:t>
      </w:r>
    </w:p>
    <w:p w14:paraId="00000834" w14:textId="77777777" w:rsidR="009F1887" w:rsidRDefault="009F1887">
      <w:pPr>
        <w:spacing w:after="0" w:line="259" w:lineRule="auto"/>
        <w:ind w:left="1440"/>
        <w:rPr>
          <w:rFonts w:ascii="Times New Roman" w:eastAsia="Times New Roman" w:hAnsi="Times New Roman" w:cs="Times New Roman"/>
        </w:rPr>
      </w:pPr>
    </w:p>
    <w:p w14:paraId="00000835" w14:textId="77777777" w:rsidR="009F1887" w:rsidRDefault="00790D5B">
      <w:pPr>
        <w:numPr>
          <w:ilvl w:val="0"/>
          <w:numId w:val="50"/>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CONTINUITY OF SUPPLIES AND PROJECT ACTIVITIES</w:t>
      </w:r>
    </w:p>
    <w:p w14:paraId="00000836" w14:textId="77777777" w:rsidR="009F1887" w:rsidRDefault="009F1887">
      <w:pPr>
        <w:spacing w:after="0" w:line="240" w:lineRule="auto"/>
        <w:ind w:left="720"/>
        <w:jc w:val="both"/>
        <w:rPr>
          <w:rFonts w:ascii="Times New Roman" w:eastAsia="Times New Roman" w:hAnsi="Times New Roman" w:cs="Times New Roman"/>
          <w:b/>
        </w:rPr>
      </w:pPr>
    </w:p>
    <w:p w14:paraId="00000837"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Where COVID-19 occurs, either in the project site or the community, access to the project site may be restricted, and movement of supplies may be affected.</w:t>
      </w:r>
    </w:p>
    <w:p w14:paraId="00000838" w14:textId="77777777" w:rsidR="009F1887" w:rsidRDefault="009F1887">
      <w:pPr>
        <w:spacing w:after="0" w:line="240" w:lineRule="auto"/>
        <w:ind w:left="360"/>
        <w:jc w:val="both"/>
        <w:rPr>
          <w:rFonts w:ascii="Times New Roman" w:eastAsia="Times New Roman" w:hAnsi="Times New Roman" w:cs="Times New Roman"/>
        </w:rPr>
      </w:pPr>
    </w:p>
    <w:p w14:paraId="00000839" w14:textId="77777777" w:rsidR="009F1887" w:rsidRDefault="00790D5B">
      <w:pPr>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0000083A" w14:textId="77777777" w:rsidR="009F1887" w:rsidRDefault="00790D5B">
      <w:pPr>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Document procedures, so that people know what they are, and are not reliant on one person’s knowledge.</w:t>
      </w:r>
    </w:p>
    <w:p w14:paraId="0000083B" w14:textId="77777777" w:rsidR="009F1887" w:rsidRDefault="00790D5B">
      <w:pPr>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0000083C" w14:textId="77777777" w:rsidR="009F1887" w:rsidRDefault="00790D5B">
      <w:pPr>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Place orders for/procure critical supplies. If not available, consider alternatives (where feasible). </w:t>
      </w:r>
    </w:p>
    <w:p w14:paraId="0000083D" w14:textId="77777777" w:rsidR="009F1887" w:rsidRDefault="00790D5B">
      <w:pPr>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Consider existing security arrangements, and whether these will be adequate in the event of interruption to normal project operations. </w:t>
      </w:r>
    </w:p>
    <w:p w14:paraId="0000083E" w14:textId="77777777" w:rsidR="009F1887" w:rsidRDefault="00790D5B">
      <w:pPr>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Consider at what point it may become necessary for the project to significantly reduce activities or to stop work completely, and what should be done to prepare for this, and to re-start work when it becomes possible or feasible.</w:t>
      </w:r>
    </w:p>
    <w:p w14:paraId="0000083F" w14:textId="77777777" w:rsidR="009F1887" w:rsidRDefault="009F1887">
      <w:pPr>
        <w:spacing w:after="0" w:line="240" w:lineRule="auto"/>
        <w:jc w:val="both"/>
        <w:rPr>
          <w:rFonts w:ascii="Times New Roman" w:eastAsia="Times New Roman" w:hAnsi="Times New Roman" w:cs="Times New Roman"/>
        </w:rPr>
      </w:pPr>
    </w:p>
    <w:p w14:paraId="00000840"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TRAINING AND COMMUNICATION WITH WORKERS</w:t>
      </w:r>
    </w:p>
    <w:p w14:paraId="00000841" w14:textId="77777777" w:rsidR="009F1887" w:rsidRDefault="009F1887">
      <w:pPr>
        <w:spacing w:after="0" w:line="240" w:lineRule="auto"/>
        <w:ind w:left="720"/>
        <w:jc w:val="both"/>
        <w:rPr>
          <w:rFonts w:ascii="Times New Roman" w:eastAsia="Times New Roman" w:hAnsi="Times New Roman" w:cs="Times New Roman"/>
        </w:rPr>
      </w:pPr>
    </w:p>
    <w:p w14:paraId="00000842"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Workers need to be provided with regular opportunities to understand their situation, and how they can best protect themselves, their families and the community. They should be made aware of the procedures that have been put in place by the project, and their own responsibilities in implementing them.</w:t>
      </w:r>
    </w:p>
    <w:p w14:paraId="00000843" w14:textId="77777777" w:rsidR="009F1887" w:rsidRDefault="009F1887">
      <w:pPr>
        <w:spacing w:after="0" w:line="240" w:lineRule="auto"/>
        <w:ind w:left="360"/>
        <w:jc w:val="both"/>
        <w:rPr>
          <w:rFonts w:ascii="Times New Roman" w:eastAsia="Times New Roman" w:hAnsi="Times New Roman" w:cs="Times New Roman"/>
        </w:rPr>
      </w:pPr>
    </w:p>
    <w:p w14:paraId="00000844" w14:textId="77777777" w:rsidR="009F1887" w:rsidRDefault="00790D5B">
      <w:pPr>
        <w:numPr>
          <w:ilvl w:val="0"/>
          <w:numId w:val="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 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00000845" w14:textId="77777777" w:rsidR="009F1887" w:rsidRDefault="00790D5B">
      <w:pPr>
        <w:numPr>
          <w:ilvl w:val="0"/>
          <w:numId w:val="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Training of workers should be conducted regularly, as discussed in the sections above, providing workers with a clear understanding of how they are expected to behave and carry out their work duties. </w:t>
      </w:r>
    </w:p>
    <w:p w14:paraId="00000846" w14:textId="77777777" w:rsidR="009F1887" w:rsidRDefault="00790D5B">
      <w:pPr>
        <w:numPr>
          <w:ilvl w:val="0"/>
          <w:numId w:val="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Training should address issues of discrimination or prejudice if a worker becomes ill and provide an understanding of the trajectory of the virus, where workers return to work.</w:t>
      </w:r>
    </w:p>
    <w:p w14:paraId="00000847" w14:textId="77777777" w:rsidR="009F1887" w:rsidRDefault="00790D5B">
      <w:pPr>
        <w:numPr>
          <w:ilvl w:val="0"/>
          <w:numId w:val="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00000848" w14:textId="77777777" w:rsidR="009F1887" w:rsidRDefault="00790D5B">
      <w:pPr>
        <w:numPr>
          <w:ilvl w:val="0"/>
          <w:numId w:val="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Communications should be clear, based on fact and designed to be easily understood by  workers, for example by displaying posters on handwashing and social distancing, and what to do if a worker displays symptoms.</w:t>
      </w:r>
    </w:p>
    <w:p w14:paraId="00000849" w14:textId="77777777" w:rsidR="009F1887" w:rsidRDefault="009F1887">
      <w:pPr>
        <w:spacing w:after="0" w:line="240" w:lineRule="auto"/>
        <w:ind w:left="1080"/>
        <w:jc w:val="both"/>
        <w:rPr>
          <w:rFonts w:ascii="Times New Roman" w:eastAsia="Times New Roman" w:hAnsi="Times New Roman" w:cs="Times New Roman"/>
        </w:rPr>
      </w:pPr>
    </w:p>
    <w:p w14:paraId="0000084A" w14:textId="77777777" w:rsidR="009F1887" w:rsidRDefault="00790D5B">
      <w:pPr>
        <w:numPr>
          <w:ilvl w:val="0"/>
          <w:numId w:val="50"/>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COMMUNICATION AND CONTACT WITH THE COMMUNITY</w:t>
      </w:r>
    </w:p>
    <w:p w14:paraId="0000084B" w14:textId="77777777" w:rsidR="009F1887" w:rsidRDefault="009F1887">
      <w:pPr>
        <w:spacing w:after="0" w:line="240" w:lineRule="auto"/>
        <w:ind w:left="720"/>
        <w:jc w:val="both"/>
        <w:rPr>
          <w:rFonts w:ascii="Times New Roman" w:eastAsia="Times New Roman" w:hAnsi="Times New Roman" w:cs="Times New Roman"/>
        </w:rPr>
      </w:pPr>
    </w:p>
    <w:p w14:paraId="0000084C" w14:textId="77777777" w:rsidR="009F1887" w:rsidRDefault="00790D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project site. The project should set out risk-based procedures to be followed , which may reflect WHO guidance (for further information see </w:t>
      </w:r>
      <w:hyperlink r:id="rId64">
        <w:r>
          <w:rPr>
            <w:rFonts w:ascii="Times New Roman" w:eastAsia="Times New Roman" w:hAnsi="Times New Roman" w:cs="Times New Roman"/>
            <w:color w:val="0000FF"/>
            <w:u w:val="single"/>
          </w:rPr>
          <w:t>WHO Risk Communication and Community Engagement (RCCE) Action Plan Guidance COVID-19 Preparedness and Response</w:t>
        </w:r>
      </w:hyperlink>
      <w:r>
        <w:rPr>
          <w:rFonts w:ascii="Times New Roman" w:eastAsia="Times New Roman" w:hAnsi="Times New Roman" w:cs="Times New Roman"/>
        </w:rPr>
        <w:t>). The following good practice should be considered:</w:t>
      </w:r>
    </w:p>
    <w:p w14:paraId="0000084D" w14:textId="77777777" w:rsidR="009F1887" w:rsidRDefault="009F1887">
      <w:pPr>
        <w:spacing w:after="0" w:line="240" w:lineRule="auto"/>
        <w:ind w:left="360"/>
        <w:jc w:val="both"/>
        <w:rPr>
          <w:rFonts w:ascii="Times New Roman" w:eastAsia="Times New Roman" w:hAnsi="Times New Roman" w:cs="Times New Roman"/>
        </w:rPr>
      </w:pPr>
    </w:p>
    <w:p w14:paraId="0000084E" w14:textId="77777777" w:rsidR="009F1887" w:rsidRDefault="00790D5B">
      <w:pPr>
        <w:numPr>
          <w:ilvl w:val="0"/>
          <w:numId w:val="4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Communications should be clear, regular, based on fact and designed to be easily understood by community members.  </w:t>
      </w:r>
    </w:p>
    <w:p w14:paraId="0000084F" w14:textId="77777777" w:rsidR="009F1887" w:rsidRDefault="00790D5B">
      <w:pPr>
        <w:numPr>
          <w:ilvl w:val="0"/>
          <w:numId w:val="4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00000850" w14:textId="77777777" w:rsidR="009F1887" w:rsidRDefault="00790D5B">
      <w:pPr>
        <w:numPr>
          <w:ilvl w:val="0"/>
          <w:numId w:val="4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community should be made aware of procedures put in place at site to address issues related to COVID-19. This should include all measures being implemented to limit or prohibit contact between workers and the community. These need to be communicated clearly, as some measures will have 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00000851" w14:textId="77777777" w:rsidR="009F1887" w:rsidRDefault="00790D5B">
      <w:pPr>
        <w:numPr>
          <w:ilvl w:val="0"/>
          <w:numId w:val="4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If project representatives, contractors or workers are interacting with the community, they  should practice social distancing and follow other COVID-19 guidance issued by relevant authorities, both national and international (e.g. WHO). </w:t>
      </w:r>
    </w:p>
    <w:p w14:paraId="00000852" w14:textId="77777777" w:rsidR="009F1887" w:rsidRDefault="009F1887">
      <w:pPr>
        <w:spacing w:after="0" w:line="240" w:lineRule="auto"/>
        <w:jc w:val="both"/>
        <w:rPr>
          <w:rFonts w:ascii="Times New Roman" w:eastAsia="Times New Roman" w:hAnsi="Times New Roman" w:cs="Times New Roman"/>
          <w:b/>
          <w:color w:val="F79646"/>
        </w:rPr>
      </w:pPr>
    </w:p>
    <w:p w14:paraId="00000853" w14:textId="77777777" w:rsidR="009F1887" w:rsidRDefault="009F1887">
      <w:pPr>
        <w:spacing w:after="0" w:line="240" w:lineRule="auto"/>
        <w:jc w:val="both"/>
        <w:rPr>
          <w:rFonts w:ascii="Times New Roman" w:eastAsia="Times New Roman" w:hAnsi="Times New Roman" w:cs="Times New Roman"/>
          <w:b/>
          <w:color w:val="F79646"/>
        </w:rPr>
      </w:pPr>
    </w:p>
    <w:p w14:paraId="00000859" w14:textId="77777777" w:rsidR="009F1887" w:rsidRDefault="00790D5B">
      <w:pPr>
        <w:pStyle w:val="Heading2"/>
        <w:numPr>
          <w:ilvl w:val="0"/>
          <w:numId w:val="65"/>
        </w:numPr>
        <w:spacing w:before="200" w:after="200"/>
        <w:ind w:left="426"/>
        <w:jc w:val="both"/>
      </w:pPr>
      <w:r>
        <w:t>AGE OF EMPLOYMENT</w:t>
      </w:r>
    </w:p>
    <w:p w14:paraId="0000085A"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 xml:space="preserve">The minimum working-age in this project will be the age of 18 years. The national legislation prohibits child labor. The labor law prohibits persons under the age of 18 years to be engaged in hazardous work. </w:t>
      </w:r>
    </w:p>
    <w:p w14:paraId="0000085B"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The contractors will be required to verify the identify the age of all workers.  This will require workers to provide official documentation to verify age such as a national identification card, passport, driver’s license, birth certificate, valid medical or school records.</w:t>
      </w:r>
    </w:p>
    <w:p w14:paraId="0000085C"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If a child under the minimum age is discovered working on the project, measures will be taken to immediately terminate the employment or engagement of the child in a responsible manner, taking into account the best interest of the child.</w:t>
      </w:r>
    </w:p>
    <w:p w14:paraId="0000085D" w14:textId="77777777" w:rsidR="009F1887" w:rsidRDefault="00790D5B">
      <w:pPr>
        <w:pStyle w:val="Heading2"/>
        <w:numPr>
          <w:ilvl w:val="0"/>
          <w:numId w:val="65"/>
        </w:numPr>
        <w:spacing w:before="200" w:after="200"/>
        <w:ind w:left="426"/>
        <w:jc w:val="both"/>
      </w:pPr>
      <w:r>
        <w:lastRenderedPageBreak/>
        <w:t>TERMS AND CONDITIONS</w:t>
      </w:r>
    </w:p>
    <w:p w14:paraId="0000085E" w14:textId="77777777" w:rsidR="009F1887" w:rsidRDefault="00790D5B">
      <w:pPr>
        <w:keepNext/>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terms and conditions of employment or engagement of the project workers must meet inter alia the following standards:</w:t>
      </w:r>
    </w:p>
    <w:p w14:paraId="0000085F"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project workers shall have employment contracts in writing that contain a description of conditions of employment;</w:t>
      </w:r>
    </w:p>
    <w:p w14:paraId="00000860"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project workers shall be entitled to a regular salary, as well as to compensation of salary for periods from work or specific condition of work (nighttime work, overtime work, work with difficult working conditions, work during weekends and holidays);</w:t>
      </w:r>
    </w:p>
    <w:p w14:paraId="00000861"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project workers will work 8 or fewer hours a day, with payment for overtime;</w:t>
      </w:r>
    </w:p>
    <w:p w14:paraId="00000862"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Any work longer than 8 hours is considered overtime work;</w:t>
      </w:r>
    </w:p>
    <w:p w14:paraId="00000863"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project workers shall be entitled to a weekly rest of at least 24 consecutive hours;</w:t>
      </w:r>
    </w:p>
    <w:p w14:paraId="00000864" w14:textId="77777777" w:rsidR="009F1887" w:rsidRDefault="00790D5B">
      <w:pPr>
        <w:numPr>
          <w:ilvl w:val="0"/>
          <w:numId w:val="5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work hours are 40 hours per week. </w:t>
      </w:r>
    </w:p>
    <w:p w14:paraId="00000865" w14:textId="77777777" w:rsidR="009F1887" w:rsidRDefault="00790D5B">
      <w:pPr>
        <w:numPr>
          <w:ilvl w:val="0"/>
          <w:numId w:val="5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overtime hours will be a maximum 10 hours per week. </w:t>
      </w:r>
    </w:p>
    <w:p w14:paraId="00000866" w14:textId="77777777" w:rsidR="009F1887" w:rsidRDefault="00790D5B">
      <w:pPr>
        <w:numPr>
          <w:ilvl w:val="0"/>
          <w:numId w:val="5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Overtime hours will be paid at the rate of at least 1.25 times of the base wage.  </w:t>
      </w:r>
    </w:p>
    <w:p w14:paraId="00000867"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project workers shall be entitled to annual, sick, maternity and family leave, as required by the national legislation. Where the national legislation does not stipulate entitlement to leaves on any ground (i.e. temporary work), the contracted party will provide the project worker, at his/her request, with a reasonable period of leave taking into consideration all the circumstances;</w:t>
      </w:r>
    </w:p>
    <w:p w14:paraId="00000868"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00000869" w14:textId="77777777" w:rsidR="009F1887" w:rsidRDefault="00790D5B">
      <w:pPr>
        <w:keepNext/>
        <w:numPr>
          <w:ilvl w:val="0"/>
          <w:numId w:val="53"/>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The employer shall provide adequate PPE for project workers and organize OHS training, in line the latest WHO guidelines and recommendations;</w:t>
      </w:r>
    </w:p>
    <w:p w14:paraId="0000086A" w14:textId="77777777" w:rsidR="009F1887" w:rsidRDefault="00790D5B">
      <w:pPr>
        <w:numPr>
          <w:ilvl w:val="0"/>
          <w:numId w:val="5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that all wages earned, social security benefits, unused leave time, pension contributions and any other entitlements will be paid on or before termination of employment; </w:t>
      </w:r>
    </w:p>
    <w:p w14:paraId="0000086B" w14:textId="77777777" w:rsidR="009F1887" w:rsidRDefault="00790D5B">
      <w:pPr>
        <w:numPr>
          <w:ilvl w:val="0"/>
          <w:numId w:val="5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These terms and conditions of employment will be in line, at minimum, with this labor management procedure, and national Labor Code;</w:t>
      </w:r>
    </w:p>
    <w:p w14:paraId="0000086C" w14:textId="77777777" w:rsidR="009F1887" w:rsidRDefault="00790D5B">
      <w:pPr>
        <w:keepNext/>
        <w:numPr>
          <w:ilvl w:val="1"/>
          <w:numId w:val="31"/>
        </w:num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The project workers shall be able to raise their grievances using the grievance mechanism in the manner described in Chapter on Grievance Mechanism.</w:t>
      </w:r>
    </w:p>
    <w:p w14:paraId="0000086D" w14:textId="77777777" w:rsidR="009F1887" w:rsidRDefault="009F1887">
      <w:pPr>
        <w:keepNext/>
        <w:spacing w:after="120" w:line="240" w:lineRule="auto"/>
        <w:jc w:val="both"/>
        <w:rPr>
          <w:rFonts w:ascii="Times New Roman" w:eastAsia="Times New Roman" w:hAnsi="Times New Roman" w:cs="Times New Roman"/>
          <w:b/>
        </w:rPr>
      </w:pPr>
    </w:p>
    <w:p w14:paraId="0000086E" w14:textId="77777777" w:rsidR="009F1887" w:rsidRDefault="00790D5B">
      <w:pPr>
        <w:pStyle w:val="Heading2"/>
        <w:numPr>
          <w:ilvl w:val="0"/>
          <w:numId w:val="65"/>
        </w:numPr>
        <w:spacing w:before="200" w:after="200"/>
        <w:ind w:left="426"/>
        <w:jc w:val="both"/>
      </w:pPr>
      <w:r>
        <w:t>GRIEVANCE MECHANISM</w:t>
      </w:r>
    </w:p>
    <w:p w14:paraId="0000086F" w14:textId="77777777" w:rsidR="009F1887" w:rsidRDefault="00790D5B">
      <w:pPr>
        <w:spacing w:after="120" w:line="288" w:lineRule="auto"/>
        <w:ind w:right="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PIU will develop and implement a grievance mechanism for direct workers to address workplace concerns. </w:t>
      </w:r>
    </w:p>
    <w:p w14:paraId="00000870" w14:textId="77777777" w:rsidR="009F1887" w:rsidRDefault="00790D5B">
      <w:pPr>
        <w:spacing w:after="120" w:line="288" w:lineRule="auto"/>
        <w:ind w:right="357"/>
        <w:jc w:val="both"/>
        <w:rPr>
          <w:rFonts w:ascii="Times New Roman" w:eastAsia="Times New Roman" w:hAnsi="Times New Roman" w:cs="Times New Roman"/>
          <w:color w:val="000000"/>
        </w:rPr>
      </w:pPr>
      <w:r>
        <w:rPr>
          <w:rFonts w:ascii="Times New Roman" w:eastAsia="Times New Roman" w:hAnsi="Times New Roman" w:cs="Times New Roman"/>
          <w:color w:val="000000"/>
        </w:rPr>
        <w:t>PIU will require contractors to develop and implement a grievance mechanism for their workforce including sub-contractors, prior to the start of works. The construction contractors will prepare their labor management procedure before the start of civil works, which will also include detailed description of the workers grievance mechanism.</w:t>
      </w:r>
    </w:p>
    <w:p w14:paraId="00000871" w14:textId="77777777" w:rsidR="009F1887" w:rsidRDefault="00790D5B">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workers grievance mechanism will include:</w:t>
      </w:r>
    </w:p>
    <w:p w14:paraId="00000872" w14:textId="77777777" w:rsidR="009F1887" w:rsidRDefault="00790D5B">
      <w:pPr>
        <w:numPr>
          <w:ilvl w:val="0"/>
          <w:numId w:val="43"/>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 procedure to receive grievances such as comment/complaint form, suggestion boxes, email, a telephone hotline; </w:t>
      </w:r>
    </w:p>
    <w:p w14:paraId="00000873" w14:textId="77777777" w:rsidR="009F1887" w:rsidRDefault="00790D5B">
      <w:pPr>
        <w:numPr>
          <w:ilvl w:val="0"/>
          <w:numId w:val="43"/>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stipulated timeframes to respond to grievances and to address cases; </w:t>
      </w:r>
    </w:p>
    <w:p w14:paraId="00000874" w14:textId="77777777" w:rsidR="009F1887" w:rsidRDefault="00790D5B">
      <w:pPr>
        <w:numPr>
          <w:ilvl w:val="0"/>
          <w:numId w:val="43"/>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register to record and track the timely resolution of grievances; </w:t>
      </w:r>
    </w:p>
    <w:p w14:paraId="00000875" w14:textId="77777777" w:rsidR="009F1887" w:rsidRDefault="00790D5B">
      <w:pPr>
        <w:numPr>
          <w:ilvl w:val="0"/>
          <w:numId w:val="43"/>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responsible department to receive, record, address and track resolution of grievances. </w:t>
      </w:r>
    </w:p>
    <w:p w14:paraId="00000876" w14:textId="77777777" w:rsidR="009F1887" w:rsidRDefault="009F1887">
      <w:pPr>
        <w:spacing w:after="0"/>
        <w:ind w:left="360"/>
        <w:jc w:val="both"/>
        <w:rPr>
          <w:rFonts w:ascii="Times New Roman" w:eastAsia="Times New Roman" w:hAnsi="Times New Roman" w:cs="Times New Roman"/>
          <w:color w:val="000000"/>
        </w:rPr>
      </w:pPr>
    </w:p>
    <w:p w14:paraId="00000877" w14:textId="77777777" w:rsidR="009F1887" w:rsidRDefault="00790D5B">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PIU will monitor the contractors’ recording and resolution of grievances, and report these to PIU in their monthly progress reports. The process will be monitored by the GRM Focal Point, a Social Standards Specialist of PIU who will be responsible for the project GRM management </w:t>
      </w:r>
    </w:p>
    <w:p w14:paraId="00000878" w14:textId="77777777" w:rsidR="009F1887" w:rsidRDefault="00790D5B">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workers grievance mechanism will be described in staff induction trainings, which will be provided to all project workers. The mechanism will be based on the following principles:</w:t>
      </w:r>
    </w:p>
    <w:p w14:paraId="00000879" w14:textId="77777777" w:rsidR="009F1887" w:rsidRDefault="00790D5B">
      <w:pPr>
        <w:numPr>
          <w:ilvl w:val="0"/>
          <w:numId w:val="27"/>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process will be transparent and allow workers to express their concerns and file grievances.</w:t>
      </w:r>
    </w:p>
    <w:p w14:paraId="0000087A" w14:textId="77777777" w:rsidR="009F1887" w:rsidRDefault="00790D5B">
      <w:pPr>
        <w:numPr>
          <w:ilvl w:val="0"/>
          <w:numId w:val="27"/>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There will be no discrimination against those who express grievances and any grievances will be treated confidentially.</w:t>
      </w:r>
    </w:p>
    <w:p w14:paraId="0000087B" w14:textId="77777777" w:rsidR="009F1887" w:rsidRDefault="00790D5B">
      <w:pPr>
        <w:numPr>
          <w:ilvl w:val="0"/>
          <w:numId w:val="27"/>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Anonymous grievances will be treated equally as other grievances, whose origin is known.</w:t>
      </w:r>
    </w:p>
    <w:p w14:paraId="0000087C" w14:textId="77777777" w:rsidR="009F1887" w:rsidRDefault="00790D5B">
      <w:pPr>
        <w:numPr>
          <w:ilvl w:val="0"/>
          <w:numId w:val="27"/>
        </w:num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Management will treat grievances seriously and take timely and appropriate action in response.</w:t>
      </w:r>
    </w:p>
    <w:p w14:paraId="0000087D" w14:textId="77777777" w:rsidR="009F1887" w:rsidRDefault="009F1887">
      <w:pPr>
        <w:spacing w:after="0"/>
        <w:ind w:left="720"/>
        <w:jc w:val="both"/>
        <w:rPr>
          <w:rFonts w:ascii="Times New Roman" w:eastAsia="Times New Roman" w:hAnsi="Times New Roman" w:cs="Times New Roman"/>
          <w:color w:val="000000"/>
        </w:rPr>
      </w:pPr>
    </w:p>
    <w:p w14:paraId="0000087E" w14:textId="77777777" w:rsidR="009F1887" w:rsidRDefault="00790D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about the existence of the grievance mechanism will be readily available to all project workers (direct and contracted) through notice boards, the presence of “suggestion/complaint boxes”, and other means as needed. </w:t>
      </w:r>
    </w:p>
    <w:p w14:paraId="0000087F" w14:textId="77777777" w:rsidR="009F1887" w:rsidRDefault="00790D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workers’ grievance mechanism will not prevent workers to use conciliation procedure provided in the Labor Code or any other judicial mechanisms. </w:t>
      </w:r>
    </w:p>
    <w:p w14:paraId="00000880" w14:textId="77777777" w:rsidR="009F1887" w:rsidRDefault="00790D5B">
      <w:pPr>
        <w:pStyle w:val="Heading2"/>
        <w:numPr>
          <w:ilvl w:val="0"/>
          <w:numId w:val="65"/>
        </w:numPr>
        <w:spacing w:before="200" w:after="200"/>
        <w:ind w:left="426"/>
        <w:jc w:val="both"/>
      </w:pPr>
      <w:r>
        <w:t>CONTRACTOR MANAGEMENT </w:t>
      </w:r>
    </w:p>
    <w:p w14:paraId="00000881"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The Borrower  will use the Bank’s 2017 Standard Procurement Documents for solicitations and contracts, and these include labor and occupational, health and safety requirements. </w:t>
      </w:r>
    </w:p>
    <w:p w14:paraId="00000882" w14:textId="77777777" w:rsidR="009F1887" w:rsidRDefault="009F1887">
      <w:pPr>
        <w:spacing w:after="0"/>
        <w:jc w:val="both"/>
        <w:rPr>
          <w:rFonts w:ascii="Times New Roman" w:eastAsia="Times New Roman" w:hAnsi="Times New Roman" w:cs="Times New Roman"/>
        </w:rPr>
      </w:pPr>
    </w:p>
    <w:p w14:paraId="00000883" w14:textId="77777777" w:rsidR="009F1887" w:rsidRDefault="00790D5B">
      <w:pPr>
        <w:spacing w:after="0"/>
        <w:jc w:val="both"/>
        <w:rPr>
          <w:rFonts w:ascii="Times New Roman" w:eastAsia="Times New Roman" w:hAnsi="Times New Roman" w:cs="Times New Roman"/>
        </w:rPr>
      </w:pPr>
      <w:r>
        <w:rPr>
          <w:rFonts w:ascii="Times New Roman" w:eastAsia="Times New Roman" w:hAnsi="Times New Roman" w:cs="Times New Roman"/>
        </w:rPr>
        <w:t xml:space="preserve">As part of the process to select design and build contractors who will engage contracted workers, the PIU and/or the supervision consultant may review the following information: </w:t>
      </w:r>
    </w:p>
    <w:p w14:paraId="00000884"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in public records, for example, corporate registers and public documents relating to violations of applicable labor law, including reports from labor inspectorates and other enforcement bodies; </w:t>
      </w:r>
    </w:p>
    <w:p w14:paraId="00000885"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Business licenses, registrations, permits, and approvals; </w:t>
      </w:r>
    </w:p>
    <w:p w14:paraId="00000886"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Documents relating to a labor management system, including OHS issues, for example, labor management procedures; </w:t>
      </w:r>
    </w:p>
    <w:p w14:paraId="00000887"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Identification of labor management, safety, and health personnel, their qualifications, and certifications; </w:t>
      </w:r>
    </w:p>
    <w:p w14:paraId="00000888"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Workers’ certifications/permits/training to perform required work; </w:t>
      </w:r>
    </w:p>
    <w:p w14:paraId="00000889"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Records of safety and health violations, and responses; </w:t>
      </w:r>
    </w:p>
    <w:p w14:paraId="0000088A"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Accident and fatality records and notifications to authorities; </w:t>
      </w:r>
    </w:p>
    <w:p w14:paraId="0000088B"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Records of legally required worker benefits and proof of workers’ enrollment in the related programs; </w:t>
      </w:r>
    </w:p>
    <w:p w14:paraId="0000088C"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Worker payroll records, including hours worked and pay received; </w:t>
      </w:r>
    </w:p>
    <w:p w14:paraId="0000088D"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Identification of safety committee members and records of meetings; and </w:t>
      </w:r>
    </w:p>
    <w:p w14:paraId="0000088E" w14:textId="77777777" w:rsidR="009F1887" w:rsidRDefault="00790D5B">
      <w:pPr>
        <w:numPr>
          <w:ilvl w:val="2"/>
          <w:numId w:val="3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Copies of previous contracts with contractors and suppliers, showing inclusion of provisions and terms reflecting ESS2. </w:t>
      </w:r>
    </w:p>
    <w:p w14:paraId="0000088F" w14:textId="77777777" w:rsidR="009F1887" w:rsidRDefault="009F1887">
      <w:pPr>
        <w:spacing w:after="0"/>
        <w:jc w:val="both"/>
        <w:rPr>
          <w:rFonts w:ascii="Times New Roman" w:eastAsia="Times New Roman" w:hAnsi="Times New Roman" w:cs="Times New Roman"/>
        </w:rPr>
      </w:pPr>
    </w:p>
    <w:p w14:paraId="00000890" w14:textId="77777777" w:rsidR="009F1887" w:rsidRDefault="00790D5B">
      <w:pPr>
        <w:jc w:val="both"/>
        <w:rPr>
          <w:rFonts w:ascii="Times New Roman" w:eastAsia="Times New Roman" w:hAnsi="Times New Roman" w:cs="Times New Roman"/>
        </w:rPr>
      </w:pPr>
      <w:r>
        <w:rPr>
          <w:rFonts w:ascii="Times New Roman" w:eastAsia="Times New Roman" w:hAnsi="Times New Roman" w:cs="Times New Roman"/>
        </w:rPr>
        <w:t xml:space="preserve">The contracts with selected contractors will include provisions related to labor and occupational health and safety, as provided in the World Bank SPD and Georgian law. </w:t>
      </w:r>
    </w:p>
    <w:p w14:paraId="00000891" w14:textId="77777777" w:rsidR="009F1887" w:rsidRDefault="00790D5B">
      <w:pPr>
        <w:tabs>
          <w:tab w:val="left" w:pos="3909"/>
        </w:tabs>
        <w:jc w:val="both"/>
        <w:rPr>
          <w:rFonts w:ascii="Times New Roman" w:eastAsia="Times New Roman" w:hAnsi="Times New Roman" w:cs="Times New Roman"/>
        </w:rPr>
      </w:pPr>
      <w:r>
        <w:rPr>
          <w:rFonts w:ascii="Times New Roman" w:eastAsia="Times New Roman" w:hAnsi="Times New Roman" w:cs="Times New Roman"/>
        </w:rPr>
        <w:t>The Supervision Consultant will manage and monitor the performance of Contractors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(a)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r>
        <w:rPr>
          <w:rFonts w:ascii="Times New Roman" w:eastAsia="Times New Roman" w:hAnsi="Times New Roman" w:cs="Times New Roman"/>
        </w:rPr>
        <w:tab/>
      </w:r>
    </w:p>
    <w:p w14:paraId="00000892" w14:textId="77777777" w:rsidR="009F1887" w:rsidRDefault="009F1887">
      <w:pPr>
        <w:spacing w:after="160" w:line="256" w:lineRule="auto"/>
        <w:jc w:val="both"/>
        <w:rPr>
          <w:rFonts w:ascii="Times New Roman" w:eastAsia="Times New Roman" w:hAnsi="Times New Roman" w:cs="Times New Roman"/>
        </w:rPr>
      </w:pPr>
    </w:p>
    <w:p w14:paraId="00000893" w14:textId="77777777" w:rsidR="009F1887" w:rsidRDefault="00790D5B">
      <w:pPr>
        <w:pStyle w:val="Heading2"/>
        <w:numPr>
          <w:ilvl w:val="0"/>
          <w:numId w:val="65"/>
        </w:numPr>
        <w:spacing w:before="200" w:after="200"/>
        <w:jc w:val="both"/>
      </w:pPr>
      <w:r>
        <w:t>PRIMARY SUPPLY WORKERS</w:t>
      </w:r>
    </w:p>
    <w:p w14:paraId="00000894" w14:textId="77777777" w:rsidR="009F1887" w:rsidRDefault="00790D5B">
      <w:pPr>
        <w:tabs>
          <w:tab w:val="left" w:pos="3909"/>
        </w:tabs>
        <w:jc w:val="both"/>
        <w:rPr>
          <w:rFonts w:ascii="Times New Roman" w:eastAsia="Times New Roman" w:hAnsi="Times New Roman" w:cs="Times New Roman"/>
        </w:rPr>
      </w:pPr>
      <w:bookmarkStart w:id="718" w:name="_heading=h.19c6y18" w:colFirst="0" w:colLast="0"/>
      <w:bookmarkEnd w:id="718"/>
      <w:r>
        <w:rPr>
          <w:rFonts w:ascii="Times New Roman" w:eastAsia="Times New Roman" w:hAnsi="Times New Roman" w:cs="Times New Roman"/>
        </w:rPr>
        <w:t xml:space="preserve">The primary suppliers may be both, national and international, the companies manufacturing goods and materials. </w:t>
      </w:r>
    </w:p>
    <w:p w14:paraId="00000895" w14:textId="77777777" w:rsidR="009F1887" w:rsidRDefault="00790D5B">
      <w:pPr>
        <w:tabs>
          <w:tab w:val="left" w:pos="3909"/>
        </w:tabs>
        <w:jc w:val="both"/>
        <w:rPr>
          <w:rFonts w:ascii="Times New Roman" w:eastAsia="Times New Roman" w:hAnsi="Times New Roman" w:cs="Times New Roman"/>
        </w:rPr>
      </w:pPr>
      <w:r>
        <w:rPr>
          <w:rFonts w:ascii="Times New Roman" w:eastAsia="Times New Roman" w:hAnsi="Times New Roman" w:cs="Times New Roman"/>
        </w:rPr>
        <w:t xml:space="preserve">In instances where local suppliers would be engaged, contractors shall be required to carry out due diligence procedure to identify if there are significant risks that the suppliers are exploiting child or forced labor or exposing worker to serious safety issues.  In instances where foreign suppliers would be contracted, contractors will be required to inquire during their procurement process whether the supplier has been accused or sanctioned for any of these issues and also their corporate requirements related to child labor, forced labor, and safety. If there are any risks related to child and forced labor, and safety identified, the PIU will prepare the procedures to address these risks. </w:t>
      </w:r>
    </w:p>
    <w:p w14:paraId="00000896" w14:textId="77777777" w:rsidR="009F1887" w:rsidRDefault="009F1887">
      <w:pPr>
        <w:jc w:val="both"/>
        <w:rPr>
          <w:rFonts w:ascii="Times New Roman" w:eastAsia="Times New Roman" w:hAnsi="Times New Roman" w:cs="Times New Roman"/>
        </w:rPr>
      </w:pPr>
    </w:p>
    <w:p w14:paraId="00000897" w14:textId="77777777" w:rsidR="009F1887" w:rsidRDefault="009F1887">
      <w:pPr>
        <w:jc w:val="both"/>
        <w:rPr>
          <w:rFonts w:ascii="Times New Roman" w:eastAsia="Times New Roman" w:hAnsi="Times New Roman" w:cs="Times New Roman"/>
        </w:rPr>
      </w:pPr>
    </w:p>
    <w:p w14:paraId="00000898" w14:textId="77777777" w:rsidR="009F1887" w:rsidRDefault="00790D5B">
      <w:pPr>
        <w:keepNext/>
        <w:keepLines/>
        <w:pBdr>
          <w:top w:val="nil"/>
          <w:left w:val="nil"/>
          <w:bottom w:val="nil"/>
          <w:right w:val="nil"/>
          <w:between w:val="nil"/>
        </w:pBdr>
        <w:spacing w:after="240" w:line="240" w:lineRule="auto"/>
        <w:ind w:left="-180"/>
        <w:rPr>
          <w:rFonts w:ascii="Times New Roman" w:eastAsia="Times New Roman" w:hAnsi="Times New Roman" w:cs="Times New Roman"/>
          <w:b/>
          <w:color w:val="000000"/>
        </w:rPr>
      </w:pPr>
      <w:r>
        <w:br w:type="page"/>
      </w:r>
    </w:p>
    <w:p w14:paraId="00000899" w14:textId="77777777" w:rsidR="009F1887" w:rsidRDefault="00790D5B">
      <w:pPr>
        <w:keepNext/>
        <w:keepLines/>
        <w:pBdr>
          <w:top w:val="nil"/>
          <w:left w:val="nil"/>
          <w:bottom w:val="nil"/>
          <w:right w:val="nil"/>
          <w:between w:val="nil"/>
        </w:pBdr>
        <w:spacing w:after="240" w:line="240" w:lineRule="auto"/>
        <w:ind w:left="-180"/>
        <w:rPr>
          <w:rFonts w:ascii="Times New Roman" w:eastAsia="Times New Roman" w:hAnsi="Times New Roman" w:cs="Times New Roman"/>
          <w:b/>
          <w:color w:val="000000"/>
        </w:rPr>
      </w:pPr>
      <w:bookmarkStart w:id="719" w:name="_heading=h.3tbugp1" w:colFirst="0" w:colLast="0"/>
      <w:bookmarkEnd w:id="719"/>
      <w:r>
        <w:rPr>
          <w:rFonts w:ascii="Times New Roman" w:eastAsia="Times New Roman" w:hAnsi="Times New Roman" w:cs="Times New Roman"/>
          <w:b/>
          <w:color w:val="000000"/>
        </w:rPr>
        <w:lastRenderedPageBreak/>
        <w:t>Annex VI. Resource List: COVID-19 Guidance</w:t>
      </w:r>
    </w:p>
    <w:p w14:paraId="0000089A" w14:textId="77777777" w:rsidR="009F1887" w:rsidRDefault="00790D5B">
      <w:pPr>
        <w:spacing w:line="240" w:lineRule="auto"/>
        <w:rPr>
          <w:rFonts w:ascii="Times New Roman" w:eastAsia="Times New Roman" w:hAnsi="Times New Roman" w:cs="Times New Roman"/>
          <w:i/>
        </w:rPr>
      </w:pPr>
      <w:r>
        <w:rPr>
          <w:rFonts w:ascii="Times New Roman" w:eastAsia="Times New Roman" w:hAnsi="Times New Roman" w:cs="Times New Roman"/>
          <w:i/>
        </w:rPr>
        <w:t>Given the COVID-19 situation is rapidly evolving, a version of this resource list will be regularly updated and made available on the World Bank COVID-19 operations intranet page (</w:t>
      </w:r>
      <w:hyperlink r:id="rId65">
        <w:r>
          <w:rPr>
            <w:rFonts w:ascii="Times New Roman" w:eastAsia="Times New Roman" w:hAnsi="Times New Roman" w:cs="Times New Roman"/>
            <w:i/>
            <w:color w:val="0000FF"/>
            <w:u w:val="single"/>
          </w:rPr>
          <w:t>http://covidoperations/</w:t>
        </w:r>
      </w:hyperlink>
      <w:r>
        <w:rPr>
          <w:rFonts w:ascii="Times New Roman" w:eastAsia="Times New Roman" w:hAnsi="Times New Roman" w:cs="Times New Roman"/>
          <w:i/>
        </w:rPr>
        <w:t>).</w:t>
      </w:r>
    </w:p>
    <w:p w14:paraId="0000089B" w14:textId="77777777" w:rsidR="009F1887" w:rsidRDefault="00790D5B">
      <w:pPr>
        <w:spacing w:line="240" w:lineRule="auto"/>
        <w:rPr>
          <w:rFonts w:ascii="Times New Roman" w:eastAsia="Times New Roman" w:hAnsi="Times New Roman" w:cs="Times New Roman"/>
          <w:b/>
        </w:rPr>
      </w:pPr>
      <w:r>
        <w:rPr>
          <w:rFonts w:ascii="Times New Roman" w:eastAsia="Times New Roman" w:hAnsi="Times New Roman" w:cs="Times New Roman"/>
          <w:b/>
        </w:rPr>
        <w:t>WHO Guidance</w:t>
      </w:r>
    </w:p>
    <w:p w14:paraId="0000089C" w14:textId="77777777" w:rsidR="009F1887" w:rsidRDefault="00790D5B">
      <w:pPr>
        <w:spacing w:line="240" w:lineRule="auto"/>
        <w:rPr>
          <w:rFonts w:ascii="Times New Roman" w:eastAsia="Times New Roman" w:hAnsi="Times New Roman" w:cs="Times New Roman"/>
          <w:b/>
        </w:rPr>
      </w:pPr>
      <w:r>
        <w:rPr>
          <w:rFonts w:ascii="Times New Roman" w:eastAsia="Times New Roman" w:hAnsi="Times New Roman" w:cs="Times New Roman"/>
          <w:b/>
        </w:rPr>
        <w:t>Advice for the public</w:t>
      </w:r>
    </w:p>
    <w:p w14:paraId="0000089D" w14:textId="77777777" w:rsidR="009F1887" w:rsidRDefault="00790D5B">
      <w:pPr>
        <w:numPr>
          <w:ilvl w:val="0"/>
          <w:numId w:val="68"/>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WHO advice for the public, including on social distancing, respiratory hygiene, self-quarantine, and seeking medical advice, can be consulted on this WHO website: </w:t>
      </w:r>
      <w:hyperlink r:id="rId66">
        <w:r>
          <w:rPr>
            <w:rFonts w:ascii="Times New Roman" w:eastAsia="Times New Roman" w:hAnsi="Times New Roman" w:cs="Times New Roman"/>
            <w:color w:val="0000FF"/>
            <w:u w:val="single"/>
          </w:rPr>
          <w:t>https://www.who.int/emergencies/diseases/novel-coronavirus-2019/advice-for-public</w:t>
        </w:r>
      </w:hyperlink>
      <w:r>
        <w:rPr>
          <w:rFonts w:ascii="Times New Roman" w:eastAsia="Times New Roman" w:hAnsi="Times New Roman" w:cs="Times New Roman"/>
          <w:color w:val="000000"/>
        </w:rPr>
        <w:t xml:space="preserve"> </w:t>
      </w:r>
    </w:p>
    <w:p w14:paraId="0000089E" w14:textId="77777777" w:rsidR="009F1887" w:rsidRDefault="00790D5B">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Technical guidance </w:t>
      </w:r>
    </w:p>
    <w:p w14:paraId="0000089F"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67">
        <w:r w:rsidR="00790D5B">
          <w:rPr>
            <w:rFonts w:ascii="Times New Roman" w:eastAsia="Times New Roman" w:hAnsi="Times New Roman" w:cs="Times New Roman"/>
            <w:color w:val="0000FF"/>
            <w:u w:val="single"/>
          </w:rPr>
          <w:t>Infection prevention and control during health care when novel coronavirus (nCoV) infection is suspected</w:t>
        </w:r>
      </w:hyperlink>
      <w:r w:rsidR="00790D5B">
        <w:rPr>
          <w:rFonts w:ascii="Times New Roman" w:eastAsia="Times New Roman" w:hAnsi="Times New Roman" w:cs="Times New Roman"/>
          <w:color w:val="0000FF"/>
          <w:u w:val="single"/>
        </w:rPr>
        <w:t>,</w:t>
      </w:r>
      <w:r w:rsidR="00790D5B">
        <w:rPr>
          <w:rFonts w:ascii="Times New Roman" w:eastAsia="Times New Roman" w:hAnsi="Times New Roman" w:cs="Times New Roman"/>
          <w:color w:val="000000"/>
        </w:rPr>
        <w:t xml:space="preserve"> issued on March 19, 2020</w:t>
      </w:r>
    </w:p>
    <w:p w14:paraId="000008A0"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68">
        <w:r w:rsidR="00790D5B">
          <w:rPr>
            <w:rFonts w:ascii="Times New Roman" w:eastAsia="Times New Roman" w:hAnsi="Times New Roman" w:cs="Times New Roman"/>
            <w:color w:val="0000FF"/>
            <w:highlight w:val="white"/>
            <w:u w:val="single"/>
          </w:rPr>
          <w:t>Recommendations to Member States to Improve Hygiene Practices</w:t>
        </w:r>
      </w:hyperlink>
      <w:r w:rsidR="00790D5B">
        <w:rPr>
          <w:rFonts w:ascii="Times New Roman" w:eastAsia="Times New Roman" w:hAnsi="Times New Roman" w:cs="Times New Roman"/>
          <w:color w:val="000000"/>
        </w:rPr>
        <w:t>, issued on April 1, 2020</w:t>
      </w:r>
    </w:p>
    <w:p w14:paraId="000008A1"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69">
        <w:r w:rsidR="00790D5B">
          <w:rPr>
            <w:rFonts w:ascii="Times New Roman" w:eastAsia="Times New Roman" w:hAnsi="Times New Roman" w:cs="Times New Roman"/>
            <w:color w:val="0000FF"/>
            <w:highlight w:val="white"/>
            <w:u w:val="single"/>
          </w:rPr>
          <w:t>Severe Acute Respiratory Infections Treatment Center</w:t>
        </w:r>
      </w:hyperlink>
      <w:r w:rsidR="00790D5B">
        <w:rPr>
          <w:rFonts w:ascii="Times New Roman" w:eastAsia="Times New Roman" w:hAnsi="Times New Roman" w:cs="Times New Roman"/>
          <w:color w:val="000000"/>
        </w:rPr>
        <w:t>, issued on March 28, 2020</w:t>
      </w:r>
    </w:p>
    <w:p w14:paraId="000008A2" w14:textId="77777777" w:rsidR="009F1887" w:rsidRDefault="009F1887">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00008A3"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70">
        <w:r w:rsidR="00790D5B">
          <w:rPr>
            <w:rFonts w:ascii="Times New Roman" w:eastAsia="Times New Roman" w:hAnsi="Times New Roman" w:cs="Times New Roman"/>
            <w:color w:val="0000FF"/>
            <w:highlight w:val="white"/>
            <w:u w:val="single"/>
          </w:rPr>
          <w:t>Infection prevention and control at health care facilities (with a focus on settings with limited resources)</w:t>
        </w:r>
      </w:hyperlink>
      <w:r w:rsidR="00790D5B">
        <w:rPr>
          <w:rFonts w:ascii="Times New Roman" w:eastAsia="Times New Roman" w:hAnsi="Times New Roman" w:cs="Times New Roman"/>
          <w:color w:val="000000"/>
        </w:rPr>
        <w:t>, issued in 2018</w:t>
      </w:r>
    </w:p>
    <w:p w14:paraId="000008A4"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71">
        <w:r w:rsidR="00790D5B">
          <w:rPr>
            <w:rFonts w:ascii="Times New Roman" w:eastAsia="Times New Roman" w:hAnsi="Times New Roman" w:cs="Times New Roman"/>
            <w:color w:val="0000FF"/>
            <w:u w:val="single"/>
          </w:rPr>
          <w:t>Laboratory biosafety guidance related to coronavirus disease 2019 (COVID-19)</w:t>
        </w:r>
      </w:hyperlink>
      <w:r w:rsidR="00790D5B">
        <w:rPr>
          <w:rFonts w:ascii="Times New Roman" w:eastAsia="Times New Roman" w:hAnsi="Times New Roman" w:cs="Times New Roman"/>
          <w:color w:val="0000FF"/>
          <w:u w:val="single"/>
        </w:rPr>
        <w:t>,</w:t>
      </w:r>
      <w:r w:rsidR="00790D5B">
        <w:rPr>
          <w:rFonts w:ascii="Times New Roman" w:eastAsia="Times New Roman" w:hAnsi="Times New Roman" w:cs="Times New Roman"/>
          <w:color w:val="000000"/>
        </w:rPr>
        <w:t xml:space="preserve"> issued on March 18, 2020</w:t>
      </w:r>
    </w:p>
    <w:p w14:paraId="000008A5"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72">
        <w:r w:rsidR="00790D5B">
          <w:rPr>
            <w:rFonts w:ascii="Times New Roman" w:eastAsia="Times New Roman" w:hAnsi="Times New Roman" w:cs="Times New Roman"/>
            <w:color w:val="0000FF"/>
            <w:u w:val="single"/>
          </w:rPr>
          <w:t>Laboratory Biosafety Manual, 3rd edition</w:t>
        </w:r>
      </w:hyperlink>
      <w:r w:rsidR="00790D5B">
        <w:rPr>
          <w:rFonts w:ascii="Times New Roman" w:eastAsia="Times New Roman" w:hAnsi="Times New Roman" w:cs="Times New Roman"/>
          <w:color w:val="000000"/>
        </w:rPr>
        <w:t>, issued in 2014</w:t>
      </w:r>
    </w:p>
    <w:p w14:paraId="000008A6"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73">
        <w:r w:rsidR="00790D5B">
          <w:rPr>
            <w:rFonts w:ascii="Times New Roman" w:eastAsia="Times New Roman" w:hAnsi="Times New Roman" w:cs="Times New Roman"/>
            <w:color w:val="0000FF"/>
            <w:u w:val="single"/>
          </w:rPr>
          <w:t>Laboratory testing for COVID-19, including specimen collection and shipment</w:t>
        </w:r>
      </w:hyperlink>
      <w:r w:rsidR="00790D5B">
        <w:rPr>
          <w:rFonts w:ascii="Times New Roman" w:eastAsia="Times New Roman" w:hAnsi="Times New Roman" w:cs="Times New Roman"/>
          <w:color w:val="000000"/>
        </w:rPr>
        <w:t>, issued on March 19, 2020</w:t>
      </w:r>
    </w:p>
    <w:p w14:paraId="000008A7"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74">
        <w:r w:rsidR="00790D5B">
          <w:rPr>
            <w:rFonts w:ascii="Times New Roman" w:eastAsia="Times New Roman" w:hAnsi="Times New Roman" w:cs="Times New Roman"/>
            <w:color w:val="0000FF"/>
            <w:u w:val="single"/>
          </w:rPr>
          <w:t>Prioritized Laboratory Testing Strategy According to 4Cs Transmission Scenarios</w:t>
        </w:r>
      </w:hyperlink>
      <w:r w:rsidR="00790D5B">
        <w:rPr>
          <w:rFonts w:ascii="Times New Roman" w:eastAsia="Times New Roman" w:hAnsi="Times New Roman" w:cs="Times New Roman"/>
          <w:color w:val="000000"/>
        </w:rPr>
        <w:t>, issued on March 21, 2020</w:t>
      </w:r>
    </w:p>
    <w:p w14:paraId="000008A8"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75">
        <w:r w:rsidR="00790D5B">
          <w:rPr>
            <w:rFonts w:ascii="Times New Roman" w:eastAsia="Times New Roman" w:hAnsi="Times New Roman" w:cs="Times New Roman"/>
            <w:color w:val="0000FF"/>
            <w:highlight w:val="white"/>
            <w:u w:val="single"/>
          </w:rPr>
          <w:t>Infection Prevention and Control for the safe management of a dead body in the context of COVID-19</w:t>
        </w:r>
      </w:hyperlink>
      <w:r w:rsidR="00790D5B">
        <w:rPr>
          <w:rFonts w:ascii="Times New Roman" w:eastAsia="Times New Roman" w:hAnsi="Times New Roman" w:cs="Times New Roman"/>
          <w:color w:val="000000"/>
        </w:rPr>
        <w:t>, issued on March 24, 2020</w:t>
      </w:r>
    </w:p>
    <w:p w14:paraId="000008A9"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76">
        <w:r w:rsidR="00790D5B">
          <w:rPr>
            <w:rFonts w:ascii="Times New Roman" w:eastAsia="Times New Roman" w:hAnsi="Times New Roman" w:cs="Times New Roman"/>
            <w:color w:val="0000FF"/>
            <w:u w:val="single"/>
          </w:rPr>
          <w:t>Key considerations for repatriation and quarantine of travelers in relation to the outbreak COVID-19</w:t>
        </w:r>
      </w:hyperlink>
      <w:r w:rsidR="00790D5B">
        <w:rPr>
          <w:rFonts w:ascii="Times New Roman" w:eastAsia="Times New Roman" w:hAnsi="Times New Roman" w:cs="Times New Roman"/>
          <w:color w:val="000000"/>
        </w:rPr>
        <w:t>, issued on February 11, 2020</w:t>
      </w:r>
    </w:p>
    <w:p w14:paraId="000008AA" w14:textId="77777777" w:rsidR="009F1887" w:rsidRDefault="00EC15FD">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77">
        <w:r w:rsidR="00790D5B">
          <w:rPr>
            <w:rFonts w:ascii="Times New Roman" w:eastAsia="Times New Roman" w:hAnsi="Times New Roman" w:cs="Times New Roman"/>
            <w:color w:val="0000FF"/>
            <w:u w:val="single"/>
          </w:rPr>
          <w:t>Preparedness, prevention and control of COVID-19 for refugees and migrants in non-camp settings</w:t>
        </w:r>
      </w:hyperlink>
      <w:r w:rsidR="00790D5B">
        <w:rPr>
          <w:rFonts w:ascii="Times New Roman" w:eastAsia="Times New Roman" w:hAnsi="Times New Roman" w:cs="Times New Roman"/>
          <w:color w:val="000000"/>
        </w:rPr>
        <w:t>, issued on April 17, 2020</w:t>
      </w:r>
    </w:p>
    <w:p w14:paraId="000008AB"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78">
        <w:r w:rsidR="00790D5B">
          <w:rPr>
            <w:rFonts w:ascii="Times New Roman" w:eastAsia="Times New Roman" w:hAnsi="Times New Roman" w:cs="Times New Roman"/>
            <w:color w:val="0000FF"/>
            <w:u w:val="single"/>
          </w:rPr>
          <w:t>Coronavirus disease (COVID-19) outbreak: rights, roles and responsibilities of health workers, including key considerations for occupational safety and health</w:t>
        </w:r>
      </w:hyperlink>
      <w:r w:rsidR="00790D5B">
        <w:rPr>
          <w:rFonts w:ascii="Times New Roman" w:eastAsia="Times New Roman" w:hAnsi="Times New Roman" w:cs="Times New Roman"/>
          <w:color w:val="0000FF"/>
          <w:u w:val="single"/>
        </w:rPr>
        <w:t xml:space="preserve">, </w:t>
      </w:r>
      <w:r w:rsidR="00790D5B">
        <w:rPr>
          <w:rFonts w:ascii="Times New Roman" w:eastAsia="Times New Roman" w:hAnsi="Times New Roman" w:cs="Times New Roman"/>
          <w:color w:val="000000"/>
        </w:rPr>
        <w:t>issued on March 18, 2020</w:t>
      </w:r>
    </w:p>
    <w:p w14:paraId="000008AC"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79">
        <w:r w:rsidR="00790D5B">
          <w:rPr>
            <w:rFonts w:ascii="Times New Roman" w:eastAsia="Times New Roman" w:hAnsi="Times New Roman" w:cs="Times New Roman"/>
            <w:color w:val="0000FF"/>
            <w:u w:val="single"/>
          </w:rPr>
          <w:t>Oxygen sources and distribution for COVID-19 treatment centers</w:t>
        </w:r>
      </w:hyperlink>
      <w:r w:rsidR="00790D5B">
        <w:rPr>
          <w:rFonts w:ascii="Times New Roman" w:eastAsia="Times New Roman" w:hAnsi="Times New Roman" w:cs="Times New Roman"/>
          <w:color w:val="000000"/>
        </w:rPr>
        <w:t>, issued on April 4, 2020</w:t>
      </w:r>
    </w:p>
    <w:p w14:paraId="000008AD"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0">
        <w:r w:rsidR="00790D5B">
          <w:rPr>
            <w:rFonts w:ascii="Times New Roman" w:eastAsia="Times New Roman" w:hAnsi="Times New Roman" w:cs="Times New Roman"/>
            <w:color w:val="0000FF"/>
            <w:u w:val="single"/>
          </w:rPr>
          <w:t>Risk Communication and Community Engagement (RCCE) Action Plan Guidance COVID-19 Preparedness and Response</w:t>
        </w:r>
      </w:hyperlink>
      <w:r w:rsidR="00790D5B">
        <w:rPr>
          <w:rFonts w:ascii="Times New Roman" w:eastAsia="Times New Roman" w:hAnsi="Times New Roman" w:cs="Times New Roman"/>
          <w:color w:val="000000"/>
        </w:rPr>
        <w:t>, issued on March 16, 2020</w:t>
      </w:r>
    </w:p>
    <w:p w14:paraId="000008AE"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FF"/>
          <w:u w:val="single"/>
        </w:rPr>
      </w:pPr>
      <w:hyperlink r:id="rId81">
        <w:r w:rsidR="00790D5B">
          <w:rPr>
            <w:rFonts w:ascii="Times New Roman" w:eastAsia="Times New Roman" w:hAnsi="Times New Roman" w:cs="Times New Roman"/>
            <w:color w:val="0000FF"/>
            <w:u w:val="single"/>
          </w:rPr>
          <w:t>Considerations for quarantine of individuals in the context of containment for coronavirus disease (COVID-19)</w:t>
        </w:r>
      </w:hyperlink>
      <w:r w:rsidR="00790D5B">
        <w:rPr>
          <w:rFonts w:ascii="Times New Roman" w:eastAsia="Times New Roman" w:hAnsi="Times New Roman" w:cs="Times New Roman"/>
          <w:color w:val="0000FF"/>
          <w:u w:val="single"/>
        </w:rPr>
        <w:t>, issued on March 19, 2020</w:t>
      </w:r>
    </w:p>
    <w:p w14:paraId="000008AF"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2">
        <w:r w:rsidR="00790D5B">
          <w:rPr>
            <w:rFonts w:ascii="Times New Roman" w:eastAsia="Times New Roman" w:hAnsi="Times New Roman" w:cs="Times New Roman"/>
            <w:color w:val="0000FF"/>
            <w:u w:val="single"/>
          </w:rPr>
          <w:t>Operational considerations for case management of COVID-19 in health facility and community</w:t>
        </w:r>
      </w:hyperlink>
      <w:r w:rsidR="00790D5B">
        <w:rPr>
          <w:rFonts w:ascii="Times New Roman" w:eastAsia="Times New Roman" w:hAnsi="Times New Roman" w:cs="Times New Roman"/>
          <w:color w:val="000000"/>
        </w:rPr>
        <w:t>, issued on March 19, 2020</w:t>
      </w:r>
    </w:p>
    <w:p w14:paraId="000008B0"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3">
        <w:r w:rsidR="00790D5B">
          <w:rPr>
            <w:rFonts w:ascii="Times New Roman" w:eastAsia="Times New Roman" w:hAnsi="Times New Roman" w:cs="Times New Roman"/>
            <w:color w:val="0000FF"/>
            <w:u w:val="single"/>
          </w:rPr>
          <w:t>Rational use of personal protective equipment for coronavirus disease 2019 (COVID-19)</w:t>
        </w:r>
      </w:hyperlink>
      <w:r w:rsidR="00790D5B">
        <w:rPr>
          <w:rFonts w:ascii="Times New Roman" w:eastAsia="Times New Roman" w:hAnsi="Times New Roman" w:cs="Times New Roman"/>
          <w:color w:val="0000FF"/>
          <w:u w:val="single"/>
        </w:rPr>
        <w:t>,</w:t>
      </w:r>
      <w:r w:rsidR="00790D5B">
        <w:rPr>
          <w:rFonts w:ascii="Times New Roman" w:eastAsia="Times New Roman" w:hAnsi="Times New Roman" w:cs="Times New Roman"/>
          <w:color w:val="000000"/>
        </w:rPr>
        <w:t xml:space="preserve"> issued on February 27, 2020</w:t>
      </w:r>
    </w:p>
    <w:p w14:paraId="000008B1"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4">
        <w:r w:rsidR="00790D5B">
          <w:rPr>
            <w:rFonts w:ascii="Times New Roman" w:eastAsia="Times New Roman" w:hAnsi="Times New Roman" w:cs="Times New Roman"/>
            <w:color w:val="0000FF"/>
            <w:u w:val="single"/>
          </w:rPr>
          <w:t>Getting your workplace ready for COVID-19</w:t>
        </w:r>
      </w:hyperlink>
      <w:r w:rsidR="00790D5B">
        <w:rPr>
          <w:rFonts w:ascii="Times New Roman" w:eastAsia="Times New Roman" w:hAnsi="Times New Roman" w:cs="Times New Roman"/>
          <w:color w:val="0000FF"/>
          <w:u w:val="single"/>
        </w:rPr>
        <w:t xml:space="preserve">, </w:t>
      </w:r>
      <w:r w:rsidR="00790D5B">
        <w:rPr>
          <w:rFonts w:ascii="Times New Roman" w:eastAsia="Times New Roman" w:hAnsi="Times New Roman" w:cs="Times New Roman"/>
          <w:color w:val="000000"/>
        </w:rPr>
        <w:t>issued on March 19, 2020</w:t>
      </w:r>
    </w:p>
    <w:p w14:paraId="000008B2"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5">
        <w:r w:rsidR="00790D5B">
          <w:rPr>
            <w:rFonts w:ascii="Times New Roman" w:eastAsia="Times New Roman" w:hAnsi="Times New Roman" w:cs="Times New Roman"/>
            <w:color w:val="0000FF"/>
            <w:u w:val="single"/>
          </w:rPr>
          <w:t>Water, sanitation, hygiene and waste management for COVID-19</w:t>
        </w:r>
      </w:hyperlink>
      <w:r w:rsidR="00790D5B">
        <w:rPr>
          <w:rFonts w:ascii="Times New Roman" w:eastAsia="Times New Roman" w:hAnsi="Times New Roman" w:cs="Times New Roman"/>
          <w:color w:val="000000"/>
        </w:rPr>
        <w:t>, issued on March 19, 2020</w:t>
      </w:r>
    </w:p>
    <w:p w14:paraId="000008B3"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6">
        <w:r w:rsidR="00790D5B">
          <w:rPr>
            <w:rFonts w:ascii="Times New Roman" w:eastAsia="Times New Roman" w:hAnsi="Times New Roman" w:cs="Times New Roman"/>
            <w:color w:val="0000FF"/>
            <w:u w:val="single"/>
          </w:rPr>
          <w:t>Safe management of wastes from health-care activities</w:t>
        </w:r>
      </w:hyperlink>
      <w:r w:rsidR="00790D5B">
        <w:rPr>
          <w:rFonts w:ascii="Times New Roman" w:eastAsia="Times New Roman" w:hAnsi="Times New Roman" w:cs="Times New Roman"/>
          <w:color w:val="000000"/>
        </w:rPr>
        <w:t>, issued in 2014</w:t>
      </w:r>
    </w:p>
    <w:p w14:paraId="000008B4" w14:textId="77777777" w:rsidR="009F1887" w:rsidRDefault="00EC15FD">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7">
        <w:r w:rsidR="00790D5B">
          <w:rPr>
            <w:rFonts w:ascii="Times New Roman" w:eastAsia="Times New Roman" w:hAnsi="Times New Roman" w:cs="Times New Roman"/>
            <w:color w:val="0000FF"/>
            <w:u w:val="single"/>
          </w:rPr>
          <w:t>Advice on the use of masks in the community, during home care and in healthcare settings in the context of the novel coronavirus (COVID-19) outbreak</w:t>
        </w:r>
      </w:hyperlink>
      <w:r w:rsidR="00790D5B">
        <w:rPr>
          <w:rFonts w:ascii="Times New Roman" w:eastAsia="Times New Roman" w:hAnsi="Times New Roman" w:cs="Times New Roman"/>
          <w:color w:val="0000FF"/>
          <w:u w:val="single"/>
        </w:rPr>
        <w:t>,</w:t>
      </w:r>
      <w:r w:rsidR="00790D5B">
        <w:rPr>
          <w:rFonts w:ascii="Times New Roman" w:eastAsia="Times New Roman" w:hAnsi="Times New Roman" w:cs="Times New Roman"/>
          <w:color w:val="000000"/>
        </w:rPr>
        <w:t xml:space="preserve"> issued on March 19, 2020</w:t>
      </w:r>
    </w:p>
    <w:p w14:paraId="000008B5" w14:textId="77777777" w:rsidR="009F1887" w:rsidRDefault="00EC15FD">
      <w:pPr>
        <w:numPr>
          <w:ilvl w:val="0"/>
          <w:numId w:val="67"/>
        </w:numPr>
        <w:pBdr>
          <w:top w:val="nil"/>
          <w:left w:val="nil"/>
          <w:bottom w:val="nil"/>
          <w:right w:val="nil"/>
          <w:between w:val="nil"/>
        </w:pBdr>
        <w:spacing w:line="240" w:lineRule="auto"/>
        <w:rPr>
          <w:rFonts w:ascii="Times New Roman" w:eastAsia="Times New Roman" w:hAnsi="Times New Roman" w:cs="Times New Roman"/>
          <w:color w:val="000000"/>
        </w:rPr>
      </w:pPr>
      <w:hyperlink r:id="rId88">
        <w:r w:rsidR="00790D5B">
          <w:rPr>
            <w:rFonts w:ascii="Times New Roman" w:eastAsia="Times New Roman" w:hAnsi="Times New Roman" w:cs="Times New Roman"/>
            <w:color w:val="0000FF"/>
            <w:u w:val="single"/>
          </w:rPr>
          <w:t>Disability Considerations during the COVID-19</w:t>
        </w:r>
      </w:hyperlink>
      <w:r w:rsidR="00790D5B">
        <w:rPr>
          <w:rFonts w:ascii="Times New Roman" w:eastAsia="Times New Roman" w:hAnsi="Times New Roman" w:cs="Times New Roman"/>
          <w:color w:val="0000FF"/>
          <w:u w:val="single"/>
        </w:rPr>
        <w:t xml:space="preserve"> outbreak</w:t>
      </w:r>
      <w:r w:rsidR="00790D5B">
        <w:rPr>
          <w:rFonts w:ascii="Times New Roman" w:eastAsia="Times New Roman" w:hAnsi="Times New Roman" w:cs="Times New Roman"/>
          <w:color w:val="000000"/>
        </w:rPr>
        <w:t xml:space="preserve">, issued on March 26, 2020 </w:t>
      </w:r>
    </w:p>
    <w:p w14:paraId="000008B6" w14:textId="77777777" w:rsidR="009F1887" w:rsidRDefault="009F1887">
      <w:pPr>
        <w:spacing w:line="240" w:lineRule="auto"/>
        <w:rPr>
          <w:rFonts w:ascii="Times New Roman" w:eastAsia="Times New Roman" w:hAnsi="Times New Roman" w:cs="Times New Roman"/>
          <w:b/>
        </w:rPr>
      </w:pPr>
    </w:p>
    <w:p w14:paraId="000008B7" w14:textId="77777777" w:rsidR="009F1887" w:rsidRDefault="00790D5B">
      <w:pPr>
        <w:spacing w:line="240" w:lineRule="auto"/>
        <w:rPr>
          <w:rFonts w:ascii="Times New Roman" w:eastAsia="Times New Roman" w:hAnsi="Times New Roman" w:cs="Times New Roman"/>
          <w:b/>
        </w:rPr>
      </w:pPr>
      <w:r>
        <w:rPr>
          <w:rFonts w:ascii="Times New Roman" w:eastAsia="Times New Roman" w:hAnsi="Times New Roman" w:cs="Times New Roman"/>
          <w:b/>
        </w:rPr>
        <w:t>WORLD BANK GROUP GUIDANCE</w:t>
      </w:r>
    </w:p>
    <w:p w14:paraId="000008B8"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89">
        <w:r w:rsidR="00790D5B">
          <w:rPr>
            <w:rFonts w:ascii="Times New Roman" w:eastAsia="Times New Roman" w:hAnsi="Times New Roman" w:cs="Times New Roman"/>
            <w:color w:val="0000FF"/>
            <w:u w:val="single"/>
          </w:rPr>
          <w:t>Technical Note: Public Consultations and Stakeholder Engagement in WB-supported operations when there are constraints on conducting public meetings</w:t>
        </w:r>
      </w:hyperlink>
      <w:r w:rsidR="00790D5B">
        <w:rPr>
          <w:rFonts w:ascii="Times New Roman" w:eastAsia="Times New Roman" w:hAnsi="Times New Roman" w:cs="Times New Roman"/>
          <w:color w:val="000000"/>
        </w:rPr>
        <w:t>, issued on March 20, 2020</w:t>
      </w:r>
    </w:p>
    <w:p w14:paraId="000008B9"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0">
        <w:r w:rsidR="00790D5B">
          <w:rPr>
            <w:rFonts w:ascii="Times New Roman" w:eastAsia="Times New Roman" w:hAnsi="Times New Roman" w:cs="Times New Roman"/>
            <w:color w:val="0000FF"/>
            <w:u w:val="single"/>
          </w:rPr>
          <w:t>Technical Note: Use of Military Forces to Assist in COVID-19 Operations</w:t>
        </w:r>
      </w:hyperlink>
      <w:r w:rsidR="00790D5B">
        <w:rPr>
          <w:rFonts w:ascii="Times New Roman" w:eastAsia="Times New Roman" w:hAnsi="Times New Roman" w:cs="Times New Roman"/>
          <w:color w:val="000000"/>
        </w:rPr>
        <w:t>, issued on March 25, 2020</w:t>
      </w:r>
    </w:p>
    <w:p w14:paraId="000008BA"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1">
        <w:r w:rsidR="00790D5B">
          <w:rPr>
            <w:rFonts w:ascii="Times New Roman" w:eastAsia="Times New Roman" w:hAnsi="Times New Roman" w:cs="Times New Roman"/>
            <w:color w:val="0000FF"/>
            <w:u w:val="single"/>
          </w:rPr>
          <w:t>ESF/Safeguards Interim Note: COVID-19 Considerations in Construction/Civil Works Projects</w:t>
        </w:r>
      </w:hyperlink>
      <w:r w:rsidR="00790D5B">
        <w:rPr>
          <w:rFonts w:ascii="Times New Roman" w:eastAsia="Times New Roman" w:hAnsi="Times New Roman" w:cs="Times New Roman"/>
          <w:color w:val="000000"/>
        </w:rPr>
        <w:t>, issued on April 7, 2020</w:t>
      </w:r>
    </w:p>
    <w:p w14:paraId="000008BB"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2">
        <w:r w:rsidR="00790D5B">
          <w:rPr>
            <w:rFonts w:ascii="Times New Roman" w:eastAsia="Times New Roman" w:hAnsi="Times New Roman" w:cs="Times New Roman"/>
            <w:color w:val="0000FF"/>
            <w:u w:val="single"/>
          </w:rPr>
          <w:t>Technical Note on SEA/H for HNP COVID Response Operations</w:t>
        </w:r>
      </w:hyperlink>
      <w:r w:rsidR="00790D5B">
        <w:rPr>
          <w:rFonts w:ascii="Times New Roman" w:eastAsia="Times New Roman" w:hAnsi="Times New Roman" w:cs="Times New Roman"/>
          <w:color w:val="0000FF"/>
          <w:u w:val="single"/>
        </w:rPr>
        <w:t xml:space="preserve">, </w:t>
      </w:r>
      <w:r w:rsidR="00790D5B">
        <w:rPr>
          <w:rFonts w:ascii="Times New Roman" w:eastAsia="Times New Roman" w:hAnsi="Times New Roman" w:cs="Times New Roman"/>
          <w:color w:val="000000"/>
        </w:rPr>
        <w:t>issued in March 2020</w:t>
      </w:r>
    </w:p>
    <w:p w14:paraId="000008BC"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3">
        <w:r w:rsidR="00790D5B">
          <w:rPr>
            <w:rFonts w:ascii="Times New Roman" w:eastAsia="Times New Roman" w:hAnsi="Times New Roman" w:cs="Times New Roman"/>
            <w:color w:val="0000FF"/>
            <w:u w:val="single"/>
          </w:rPr>
          <w:t>Interim Advice for IFC Clients on Preventing and Managing Health Risks of COVID-19 in the Workplace</w:t>
        </w:r>
      </w:hyperlink>
      <w:r w:rsidR="00790D5B">
        <w:rPr>
          <w:rFonts w:ascii="Times New Roman" w:eastAsia="Times New Roman" w:hAnsi="Times New Roman" w:cs="Times New Roman"/>
          <w:color w:val="000000"/>
        </w:rPr>
        <w:t>, issued on April 6, 2020</w:t>
      </w:r>
    </w:p>
    <w:p w14:paraId="000008BD"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4">
        <w:r w:rsidR="00790D5B">
          <w:rPr>
            <w:rFonts w:ascii="Times New Roman" w:eastAsia="Times New Roman" w:hAnsi="Times New Roman" w:cs="Times New Roman"/>
            <w:color w:val="0000FF"/>
            <w:u w:val="single"/>
          </w:rPr>
          <w:t>Interim Advice for IFC Clients on Supporting Workers in the Context of COVID-19</w:t>
        </w:r>
      </w:hyperlink>
      <w:r w:rsidR="00790D5B">
        <w:rPr>
          <w:rFonts w:ascii="Times New Roman" w:eastAsia="Times New Roman" w:hAnsi="Times New Roman" w:cs="Times New Roman"/>
          <w:color w:val="000000"/>
        </w:rPr>
        <w:t>, issued on April 6, 2020</w:t>
      </w:r>
    </w:p>
    <w:p w14:paraId="000008BE" w14:textId="77777777" w:rsidR="009F1887" w:rsidRDefault="00EC15F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5">
        <w:r w:rsidR="00790D5B">
          <w:rPr>
            <w:rFonts w:ascii="Times New Roman" w:eastAsia="Times New Roman" w:hAnsi="Times New Roman" w:cs="Times New Roman"/>
            <w:color w:val="0000FF"/>
            <w:u w:val="single"/>
          </w:rPr>
          <w:t>IFC Tip Sheet for Company Leadership on Crisis Response: Facing the COVID-19 Pandemic</w:t>
        </w:r>
      </w:hyperlink>
      <w:r w:rsidR="00790D5B">
        <w:rPr>
          <w:rFonts w:ascii="Times New Roman" w:eastAsia="Times New Roman" w:hAnsi="Times New Roman" w:cs="Times New Roman"/>
          <w:color w:val="000000"/>
        </w:rPr>
        <w:t>, issued on April 6, 2020</w:t>
      </w:r>
    </w:p>
    <w:p w14:paraId="000008BF" w14:textId="77777777" w:rsidR="009F1887" w:rsidRDefault="00EC15FD">
      <w:pPr>
        <w:numPr>
          <w:ilvl w:val="0"/>
          <w:numId w:val="39"/>
        </w:numPr>
        <w:pBdr>
          <w:top w:val="nil"/>
          <w:left w:val="nil"/>
          <w:bottom w:val="nil"/>
          <w:right w:val="nil"/>
          <w:between w:val="nil"/>
        </w:pBdr>
        <w:spacing w:line="240" w:lineRule="auto"/>
        <w:rPr>
          <w:rFonts w:ascii="Times New Roman" w:eastAsia="Times New Roman" w:hAnsi="Times New Roman" w:cs="Times New Roman"/>
          <w:color w:val="000000"/>
        </w:rPr>
      </w:pPr>
      <w:hyperlink r:id="rId96">
        <w:r w:rsidR="00790D5B">
          <w:rPr>
            <w:rFonts w:ascii="Times New Roman" w:eastAsia="Times New Roman" w:hAnsi="Times New Roman" w:cs="Times New Roman"/>
            <w:color w:val="0000FF"/>
            <w:u w:val="single"/>
          </w:rPr>
          <w:t>WBG EHS Guidelines for Healthcare Facilities</w:t>
        </w:r>
      </w:hyperlink>
      <w:r w:rsidR="00790D5B">
        <w:rPr>
          <w:rFonts w:ascii="Times New Roman" w:eastAsia="Times New Roman" w:hAnsi="Times New Roman" w:cs="Times New Roman"/>
          <w:color w:val="000000"/>
        </w:rPr>
        <w:t>, issued on April 30, 2007</w:t>
      </w:r>
    </w:p>
    <w:p w14:paraId="000008C0" w14:textId="77777777" w:rsidR="009F1887" w:rsidRDefault="009F1887">
      <w:pPr>
        <w:spacing w:line="240" w:lineRule="auto"/>
        <w:rPr>
          <w:rFonts w:ascii="Times New Roman" w:eastAsia="Times New Roman" w:hAnsi="Times New Roman" w:cs="Times New Roman"/>
        </w:rPr>
      </w:pPr>
    </w:p>
    <w:p w14:paraId="000008C1" w14:textId="77777777" w:rsidR="009F1887" w:rsidRDefault="00790D5B">
      <w:pPr>
        <w:spacing w:line="240" w:lineRule="auto"/>
        <w:rPr>
          <w:rFonts w:ascii="Times New Roman" w:eastAsia="Times New Roman" w:hAnsi="Times New Roman" w:cs="Times New Roman"/>
          <w:b/>
        </w:rPr>
      </w:pPr>
      <w:r>
        <w:rPr>
          <w:rFonts w:ascii="Times New Roman" w:eastAsia="Times New Roman" w:hAnsi="Times New Roman" w:cs="Times New Roman"/>
          <w:b/>
        </w:rPr>
        <w:t>ILO GUIDANCE</w:t>
      </w:r>
    </w:p>
    <w:p w14:paraId="000008C2" w14:textId="77777777" w:rsidR="009F1887" w:rsidRDefault="00EC15FD">
      <w:pPr>
        <w:numPr>
          <w:ilvl w:val="0"/>
          <w:numId w:val="69"/>
        </w:numPr>
        <w:pBdr>
          <w:top w:val="nil"/>
          <w:left w:val="nil"/>
          <w:bottom w:val="nil"/>
          <w:right w:val="nil"/>
          <w:between w:val="nil"/>
        </w:pBdr>
        <w:spacing w:line="240" w:lineRule="auto"/>
        <w:rPr>
          <w:rFonts w:ascii="Times New Roman" w:eastAsia="Times New Roman" w:hAnsi="Times New Roman" w:cs="Times New Roman"/>
          <w:color w:val="000000"/>
        </w:rPr>
      </w:pPr>
      <w:hyperlink r:id="rId97">
        <w:r w:rsidR="00790D5B">
          <w:rPr>
            <w:rFonts w:ascii="Times New Roman" w:eastAsia="Times New Roman" w:hAnsi="Times New Roman" w:cs="Times New Roman"/>
            <w:color w:val="0000FF"/>
            <w:u w:val="single"/>
          </w:rPr>
          <w:t>ILO Standards and COVID-19 FAQ</w:t>
        </w:r>
      </w:hyperlink>
      <w:r w:rsidR="00790D5B">
        <w:rPr>
          <w:rFonts w:ascii="Times New Roman" w:eastAsia="Times New Roman" w:hAnsi="Times New Roman" w:cs="Times New Roman"/>
          <w:color w:val="000000"/>
        </w:rPr>
        <w:t>, issued on March 23, 2020 (provides a compilation of answers to most frequently asked questions related to international labor standards and COVID-19)</w:t>
      </w:r>
    </w:p>
    <w:p w14:paraId="000008C3" w14:textId="77777777" w:rsidR="009F1887" w:rsidRDefault="009F1887">
      <w:pPr>
        <w:spacing w:line="240" w:lineRule="auto"/>
        <w:rPr>
          <w:rFonts w:ascii="Times New Roman" w:eastAsia="Times New Roman" w:hAnsi="Times New Roman" w:cs="Times New Roman"/>
        </w:rPr>
      </w:pPr>
    </w:p>
    <w:p w14:paraId="000008C4" w14:textId="77777777" w:rsidR="009F1887" w:rsidRDefault="00790D5B">
      <w:pPr>
        <w:spacing w:line="240" w:lineRule="auto"/>
        <w:rPr>
          <w:rFonts w:ascii="Times New Roman" w:eastAsia="Times New Roman" w:hAnsi="Times New Roman" w:cs="Times New Roman"/>
          <w:b/>
        </w:rPr>
      </w:pPr>
      <w:r>
        <w:rPr>
          <w:rFonts w:ascii="Times New Roman" w:eastAsia="Times New Roman" w:hAnsi="Times New Roman" w:cs="Times New Roman"/>
          <w:b/>
        </w:rPr>
        <w:t>MFI GUIDANCE</w:t>
      </w:r>
    </w:p>
    <w:p w14:paraId="000008C5" w14:textId="77777777" w:rsidR="009F1887" w:rsidRDefault="00EC15FD">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8">
        <w:r w:rsidR="00790D5B">
          <w:rPr>
            <w:rFonts w:ascii="Times New Roman" w:eastAsia="Times New Roman" w:hAnsi="Times New Roman" w:cs="Times New Roman"/>
            <w:color w:val="0000FF"/>
            <w:u w:val="single"/>
          </w:rPr>
          <w:t>ADB Managing Infectious Medical Waste during the COVID-19 Pandemic</w:t>
        </w:r>
      </w:hyperlink>
    </w:p>
    <w:p w14:paraId="000008C6" w14:textId="77777777" w:rsidR="009F1887" w:rsidRDefault="00EC15FD">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rPr>
      </w:pPr>
      <w:hyperlink r:id="rId99">
        <w:r w:rsidR="00790D5B">
          <w:rPr>
            <w:rFonts w:ascii="Times New Roman" w:eastAsia="Times New Roman" w:hAnsi="Times New Roman" w:cs="Times New Roman"/>
            <w:color w:val="0000FF"/>
            <w:u w:val="single"/>
          </w:rPr>
          <w:t>IDB Invest</w:t>
        </w:r>
      </w:hyperlink>
      <w:r w:rsidR="00790D5B">
        <w:rPr>
          <w:rFonts w:ascii="Times New Roman" w:eastAsia="Times New Roman" w:hAnsi="Times New Roman" w:cs="Times New Roman"/>
          <w:color w:val="000000"/>
        </w:rPr>
        <w:t xml:space="preserve"> </w:t>
      </w:r>
      <w:hyperlink r:id="rId100">
        <w:r w:rsidR="00790D5B">
          <w:rPr>
            <w:rFonts w:ascii="Times New Roman" w:eastAsia="Times New Roman" w:hAnsi="Times New Roman" w:cs="Times New Roman"/>
            <w:color w:val="0000FF"/>
            <w:u w:val="single"/>
          </w:rPr>
          <w:t>Guidance for Infrastructure Projects on COVID-19: A Rapid Risk Profile and Decision Framework</w:t>
        </w:r>
      </w:hyperlink>
    </w:p>
    <w:p w14:paraId="000008C7" w14:textId="77777777" w:rsidR="009F1887" w:rsidRDefault="00EC15FD">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FF"/>
          <w:u w:val="single"/>
        </w:rPr>
      </w:pPr>
      <w:hyperlink r:id="rId101">
        <w:r w:rsidR="00790D5B">
          <w:rPr>
            <w:rFonts w:ascii="Times New Roman" w:eastAsia="Times New Roman" w:hAnsi="Times New Roman" w:cs="Times New Roman"/>
            <w:color w:val="0000FF"/>
            <w:u w:val="single"/>
          </w:rPr>
          <w:t>KfW DEG COVID-19 Guidance for employers</w:t>
        </w:r>
      </w:hyperlink>
      <w:r w:rsidR="00790D5B">
        <w:rPr>
          <w:rFonts w:ascii="Times New Roman" w:eastAsia="Times New Roman" w:hAnsi="Times New Roman" w:cs="Times New Roman"/>
          <w:color w:val="0000FF"/>
          <w:u w:val="single"/>
        </w:rPr>
        <w:t>, issued on March 31, 2020</w:t>
      </w:r>
    </w:p>
    <w:p w14:paraId="000008C8" w14:textId="77777777" w:rsidR="009F1887" w:rsidRDefault="00EC15FD">
      <w:pPr>
        <w:numPr>
          <w:ilvl w:val="0"/>
          <w:numId w:val="69"/>
        </w:numPr>
        <w:pBdr>
          <w:top w:val="nil"/>
          <w:left w:val="nil"/>
          <w:bottom w:val="nil"/>
          <w:right w:val="nil"/>
          <w:between w:val="nil"/>
        </w:pBdr>
        <w:spacing w:line="240" w:lineRule="auto"/>
        <w:rPr>
          <w:rFonts w:ascii="Times New Roman" w:eastAsia="Times New Roman" w:hAnsi="Times New Roman" w:cs="Times New Roman"/>
          <w:color w:val="0000FF"/>
          <w:u w:val="single"/>
        </w:rPr>
      </w:pPr>
      <w:hyperlink r:id="rId102">
        <w:r w:rsidR="00790D5B">
          <w:rPr>
            <w:rFonts w:ascii="Times New Roman" w:eastAsia="Times New Roman" w:hAnsi="Times New Roman" w:cs="Times New Roman"/>
            <w:color w:val="0000FF"/>
            <w:u w:val="single"/>
          </w:rPr>
          <w:t>CDC Group COVID-19 Guidance for Employers</w:t>
        </w:r>
      </w:hyperlink>
      <w:r w:rsidR="00790D5B">
        <w:rPr>
          <w:rFonts w:ascii="Times New Roman" w:eastAsia="Times New Roman" w:hAnsi="Times New Roman" w:cs="Times New Roman"/>
          <w:color w:val="0000FF"/>
          <w:u w:val="single"/>
        </w:rPr>
        <w:t>, issued on March 23, 2020</w:t>
      </w:r>
    </w:p>
    <w:p w14:paraId="000008C9" w14:textId="77777777" w:rsidR="009F1887" w:rsidRDefault="009F1887">
      <w:pPr>
        <w:spacing w:line="240" w:lineRule="auto"/>
        <w:rPr>
          <w:rFonts w:ascii="Times New Roman" w:eastAsia="Times New Roman" w:hAnsi="Times New Roman" w:cs="Times New Roman"/>
          <w:b/>
        </w:rPr>
      </w:pPr>
    </w:p>
    <w:p w14:paraId="000008CA" w14:textId="77777777" w:rsidR="009F1887" w:rsidRDefault="009F1887">
      <w:pPr>
        <w:spacing w:line="240" w:lineRule="auto"/>
        <w:rPr>
          <w:rFonts w:ascii="Times New Roman" w:eastAsia="Times New Roman" w:hAnsi="Times New Roman" w:cs="Times New Roman"/>
        </w:rPr>
      </w:pPr>
    </w:p>
    <w:sectPr w:rsidR="009F1887">
      <w:pgSz w:w="12240" w:h="15840"/>
      <w:pgMar w:top="1440" w:right="1440" w:bottom="1440" w:left="1440" w:header="720" w:footer="720" w:gutter="0"/>
      <w:cols w:space="720" w:equalWidth="0">
        <w:col w:w="936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 w:author="Author" w:date="2020-07-15T05:14:00Z" w:initials="">
    <w:sdt>
      <w:sdtPr>
        <w:tag w:val="goog_rdk_557"/>
        <w:id w:val="546807726"/>
      </w:sdtPr>
      <w:sdtContent>
        <w:p w14:paraId="00000930"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56"/>
              <w:id w:val="121514119"/>
            </w:sdtPr>
            <w:sdtContent>
              <w:r>
                <w:rPr>
                  <w:rFonts w:ascii="Arial" w:eastAsia="Arial" w:hAnsi="Arial" w:cs="Arial"/>
                  <w:color w:val="000000"/>
                </w:rPr>
                <w:t>Please confirm.</w:t>
              </w:r>
            </w:sdtContent>
          </w:sdt>
        </w:p>
      </w:sdtContent>
    </w:sdt>
  </w:comment>
  <w:comment w:id="26" w:author="Author" w:date="2020-07-15T05:14:00Z" w:initials="">
    <w:sdt>
      <w:sdtPr>
        <w:tag w:val="goog_rdk_559"/>
        <w:id w:val="-176582008"/>
      </w:sdtPr>
      <w:sdtContent>
        <w:p w14:paraId="00000931"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58"/>
              <w:id w:val="716790719"/>
            </w:sdtPr>
            <w:sdtContent>
              <w:r>
                <w:rPr>
                  <w:rFonts w:ascii="Arial" w:eastAsia="Arial" w:hAnsi="Arial" w:cs="Arial"/>
                  <w:color w:val="000000"/>
                </w:rPr>
                <w:t>REMINDER: please confirm.</w:t>
              </w:r>
            </w:sdtContent>
          </w:sdt>
        </w:p>
      </w:sdtContent>
    </w:sdt>
  </w:comment>
  <w:comment w:id="41" w:author="Author" w:date="2020-07-15T05:14:00Z" w:initials="">
    <w:sdt>
      <w:sdtPr>
        <w:tag w:val="goog_rdk_547"/>
        <w:id w:val="1826469904"/>
      </w:sdtPr>
      <w:sdtContent>
        <w:p w14:paraId="0000092B"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46"/>
              <w:id w:val="882294252"/>
            </w:sdtPr>
            <w:sdtContent>
              <w:r>
                <w:rPr>
                  <w:rFonts w:ascii="Arial" w:eastAsia="Arial" w:hAnsi="Arial" w:cs="Arial"/>
                  <w:color w:val="000000"/>
                </w:rPr>
                <w:t>Name the directive.</w:t>
              </w:r>
            </w:sdtContent>
          </w:sdt>
        </w:p>
      </w:sdtContent>
    </w:sdt>
  </w:comment>
  <w:comment w:id="54" w:author="Author" w:date="2020-07-15T05:14:00Z" w:initials="">
    <w:sdt>
      <w:sdtPr>
        <w:tag w:val="goog_rdk_575"/>
        <w:id w:val="802656875"/>
      </w:sdtPr>
      <w:sdtContent>
        <w:p w14:paraId="00000939"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74"/>
              <w:id w:val="-1338925045"/>
            </w:sdtPr>
            <w:sdtContent>
              <w:r>
                <w:rPr>
                  <w:rFonts w:ascii="Arial" w:eastAsia="Arial" w:hAnsi="Arial" w:cs="Arial"/>
                  <w:color w:val="000000"/>
                </w:rPr>
                <w:t>New text. Please confirm.</w:t>
              </w:r>
            </w:sdtContent>
          </w:sdt>
        </w:p>
      </w:sdtContent>
    </w:sdt>
  </w:comment>
  <w:comment w:id="61" w:author="Author" w:date="2020-07-15T05:14:00Z" w:initials="">
    <w:sdt>
      <w:sdtPr>
        <w:tag w:val="goog_rdk_549"/>
        <w:id w:val="2022657878"/>
      </w:sdtPr>
      <w:sdtContent>
        <w:p w14:paraId="0000092C"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48"/>
              <w:id w:val="-1334605099"/>
            </w:sdtPr>
            <w:sdtContent>
              <w:r>
                <w:rPr>
                  <w:rFonts w:ascii="Arial" w:eastAsia="Arial" w:hAnsi="Arial" w:cs="Arial"/>
                  <w:color w:val="000000"/>
                </w:rPr>
                <w:t>This is not clear. Please, clarify in which domain are flexibilities expected/. It is not clear how is state holding of hospitals associated with this project?</w:t>
              </w:r>
            </w:sdtContent>
          </w:sdt>
        </w:p>
      </w:sdtContent>
    </w:sdt>
  </w:comment>
  <w:comment w:id="67" w:author="Author" w:date="2020-07-15T05:14:00Z" w:initials="">
    <w:sdt>
      <w:sdtPr>
        <w:tag w:val="goog_rdk_531"/>
        <w:id w:val="1473559009"/>
      </w:sdtPr>
      <w:sdtContent>
        <w:p w14:paraId="00000923"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30"/>
              <w:id w:val="409361612"/>
            </w:sdtPr>
            <w:sdtContent>
              <w:r>
                <w:rPr>
                  <w:rFonts w:ascii="Arial" w:eastAsia="Arial" w:hAnsi="Arial" w:cs="Arial"/>
                  <w:color w:val="000000"/>
                </w:rPr>
                <w:t>Insert the title of this directive here.</w:t>
              </w:r>
            </w:sdtContent>
          </w:sdt>
        </w:p>
      </w:sdtContent>
    </w:sdt>
  </w:comment>
  <w:comment w:id="133" w:author="Author" w:date="2020-07-15T05:14:00Z" w:initials="">
    <w:sdt>
      <w:sdtPr>
        <w:tag w:val="goog_rdk_585"/>
        <w:id w:val="2139214417"/>
      </w:sdtPr>
      <w:sdtContent>
        <w:p w14:paraId="0000093E"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84"/>
              <w:id w:val="-1728448212"/>
            </w:sdtPr>
            <w:sdtContent>
              <w:r>
                <w:rPr>
                  <w:rFonts w:ascii="Arial" w:eastAsia="Arial" w:hAnsi="Arial" w:cs="Arial"/>
                  <w:color w:val="000000"/>
                </w:rPr>
                <w:t>Needs rewording for better grammar and clarity.</w:t>
              </w:r>
            </w:sdtContent>
          </w:sdt>
        </w:p>
      </w:sdtContent>
    </w:sdt>
  </w:comment>
  <w:comment w:id="141" w:author="Author" w:date="2020-07-15T05:14:00Z" w:initials="">
    <w:sdt>
      <w:sdtPr>
        <w:tag w:val="goog_rdk_587"/>
        <w:id w:val="1456903632"/>
      </w:sdtPr>
      <w:sdtContent>
        <w:p w14:paraId="0000093F"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86"/>
              <w:id w:val="-990401653"/>
            </w:sdtPr>
            <w:sdtContent>
              <w:r>
                <w:rPr>
                  <w:rFonts w:ascii="Arial" w:eastAsia="Arial" w:hAnsi="Arial" w:cs="Arial"/>
                  <w:color w:val="000000"/>
                </w:rPr>
                <w:t>Remove the space.</w:t>
              </w:r>
            </w:sdtContent>
          </w:sdt>
        </w:p>
      </w:sdtContent>
    </w:sdt>
  </w:comment>
  <w:comment w:id="168" w:author="Author" w:date="2020-07-15T05:14:00Z" w:initials="">
    <w:sdt>
      <w:sdtPr>
        <w:tag w:val="goog_rdk_505"/>
        <w:id w:val="1276212284"/>
      </w:sdtPr>
      <w:sdtContent>
        <w:p w14:paraId="00000916"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04"/>
              <w:id w:val="725339809"/>
            </w:sdtPr>
            <w:sdtContent>
              <w:r>
                <w:rPr>
                  <w:rFonts w:ascii="Arial" w:eastAsia="Arial" w:hAnsi="Arial" w:cs="Arial"/>
                  <w:color w:val="000000"/>
                </w:rPr>
                <w:t>Developed by whom? Approved by whom? For what period of time?</w:t>
              </w:r>
            </w:sdtContent>
          </w:sdt>
        </w:p>
      </w:sdtContent>
    </w:sdt>
  </w:comment>
  <w:comment w:id="171" w:author="Author" w:date="2020-07-15T05:14:00Z" w:initials="">
    <w:sdt>
      <w:sdtPr>
        <w:tag w:val="goog_rdk_569"/>
        <w:id w:val="-217521138"/>
      </w:sdtPr>
      <w:sdtContent>
        <w:p w14:paraId="00000936"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68"/>
              <w:id w:val="496926894"/>
            </w:sdtPr>
            <w:sdtContent>
              <w:r>
                <w:rPr>
                  <w:rFonts w:ascii="Arial" w:eastAsia="Arial" w:hAnsi="Arial" w:cs="Arial"/>
                  <w:color w:val="000000"/>
                </w:rPr>
                <w:t>Year is missing.</w:t>
              </w:r>
            </w:sdtContent>
          </w:sdt>
        </w:p>
      </w:sdtContent>
    </w:sdt>
  </w:comment>
  <w:comment w:id="177" w:author="Author" w:date="2020-07-15T05:14:00Z" w:initials="">
    <w:sdt>
      <w:sdtPr>
        <w:tag w:val="goog_rdk_539"/>
        <w:id w:val="-622306550"/>
      </w:sdtPr>
      <w:sdtContent>
        <w:p w14:paraId="00000927"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38"/>
              <w:id w:val="-501510503"/>
            </w:sdtPr>
            <w:sdtContent>
              <w:r>
                <w:rPr>
                  <w:rFonts w:ascii="Arial" w:eastAsia="Arial" w:hAnsi="Arial" w:cs="Arial"/>
                  <w:color w:val="000000"/>
                </w:rPr>
                <w:t>Remove space</w:t>
              </w:r>
            </w:sdtContent>
          </w:sdt>
        </w:p>
      </w:sdtContent>
    </w:sdt>
  </w:comment>
  <w:comment w:id="182" w:author="Author" w:date="2020-07-15T05:14:00Z" w:initials="">
    <w:sdt>
      <w:sdtPr>
        <w:tag w:val="goog_rdk_511"/>
        <w:id w:val="-1678656636"/>
      </w:sdtPr>
      <w:sdtContent>
        <w:p w14:paraId="00000919"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10"/>
              <w:id w:val="1975021572"/>
            </w:sdtPr>
            <w:sdtContent>
              <w:r>
                <w:rPr>
                  <w:rFonts w:ascii="Arial" w:eastAsia="Arial" w:hAnsi="Arial" w:cs="Arial"/>
                  <w:color w:val="000000"/>
                </w:rPr>
                <w:t>Year is missing.</w:t>
              </w:r>
            </w:sdtContent>
          </w:sdt>
        </w:p>
      </w:sdtContent>
    </w:sdt>
  </w:comment>
  <w:comment w:id="200" w:author="Author" w:date="2020-07-15T05:14:00Z" w:initials="">
    <w:sdt>
      <w:sdtPr>
        <w:tag w:val="goog_rdk_529"/>
        <w:id w:val="-1731453074"/>
      </w:sdtPr>
      <w:sdtContent>
        <w:p w14:paraId="00000922"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28"/>
              <w:id w:val="234203411"/>
            </w:sdtPr>
            <w:sdtContent>
              <w:r>
                <w:rPr>
                  <w:rFonts w:ascii="Arial" w:eastAsia="Arial" w:hAnsi="Arial" w:cs="Arial"/>
                  <w:color w:val="000000"/>
                </w:rPr>
                <w:t>Quality upgrade required for content and grammar.</w:t>
              </w:r>
            </w:sdtContent>
          </w:sdt>
        </w:p>
      </w:sdtContent>
    </w:sdt>
  </w:comment>
  <w:comment w:id="243" w:author="Author" w:date="2020-07-15T05:14:00Z" w:initials="">
    <w:sdt>
      <w:sdtPr>
        <w:tag w:val="goog_rdk_501"/>
        <w:id w:val="1539930667"/>
      </w:sdtPr>
      <w:sdtContent>
        <w:p w14:paraId="00000914"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00"/>
              <w:id w:val="-638490823"/>
            </w:sdtPr>
            <w:sdtContent>
              <w:r>
                <w:rPr>
                  <w:rFonts w:ascii="Arial" w:eastAsia="Arial" w:hAnsi="Arial" w:cs="Arial"/>
                  <w:color w:val="000000"/>
                </w:rPr>
                <w:t>The same is said about National Food Agency. This is not self-explanatory. Two institutions cannot be doing exactly the same. Please clarify.</w:t>
              </w:r>
            </w:sdtContent>
          </w:sdt>
        </w:p>
      </w:sdtContent>
    </w:sdt>
  </w:comment>
  <w:comment w:id="272" w:author="Author" w:date="2020-07-15T05:14:00Z" w:initials="">
    <w:sdt>
      <w:sdtPr>
        <w:tag w:val="goog_rdk_525"/>
        <w:id w:val="-1363044606"/>
      </w:sdtPr>
      <w:sdtContent>
        <w:p w14:paraId="00000920"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24"/>
              <w:id w:val="-495730277"/>
            </w:sdtPr>
            <w:sdtContent>
              <w:r>
                <w:rPr>
                  <w:rFonts w:ascii="Arial" w:eastAsia="Arial" w:hAnsi="Arial" w:cs="Arial"/>
                  <w:color w:val="000000"/>
                </w:rPr>
                <w:t>See comment above and clarify.</w:t>
              </w:r>
            </w:sdtContent>
          </w:sdt>
        </w:p>
      </w:sdtContent>
    </w:sdt>
    <w:sdt>
      <w:sdtPr>
        <w:tag w:val="goog_rdk_527"/>
        <w:id w:val="100932899"/>
      </w:sdtPr>
      <w:sdtContent>
        <w:p w14:paraId="00000921"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26"/>
              <w:id w:val="-1881239977"/>
            </w:sdtPr>
            <w:sdtContent>
              <w:r>
                <w:rPr>
                  <w:rFonts w:ascii="Arial" w:eastAsia="Arial" w:hAnsi="Arial" w:cs="Arial"/>
                  <w:color w:val="000000"/>
                </w:rPr>
                <w:t>Functions of this Agency should be expanded.</w:t>
              </w:r>
            </w:sdtContent>
          </w:sdt>
        </w:p>
      </w:sdtContent>
    </w:sdt>
  </w:comment>
  <w:comment w:id="294" w:author="Author" w:date="2020-07-15T05:14:00Z" w:initials="">
    <w:sdt>
      <w:sdtPr>
        <w:tag w:val="goog_rdk_517"/>
        <w:id w:val="1617257362"/>
      </w:sdtPr>
      <w:sdtContent>
        <w:p w14:paraId="0000091C"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16"/>
              <w:id w:val="1958761983"/>
            </w:sdtPr>
            <w:sdtContent>
              <w:r>
                <w:rPr>
                  <w:rFonts w:ascii="Arial" w:eastAsia="Arial" w:hAnsi="Arial" w:cs="Arial"/>
                  <w:color w:val="000000"/>
                </w:rPr>
                <w:t>Erroneous write-up. Meaning unclear.</w:t>
              </w:r>
            </w:sdtContent>
          </w:sdt>
        </w:p>
      </w:sdtContent>
    </w:sdt>
  </w:comment>
  <w:comment w:id="309" w:author="Author" w:date="2020-07-15T05:14:00Z" w:initials="">
    <w:sdt>
      <w:sdtPr>
        <w:tag w:val="goog_rdk_551"/>
        <w:id w:val="1223642557"/>
      </w:sdtPr>
      <w:sdtContent>
        <w:p w14:paraId="0000092D"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50"/>
              <w:id w:val="-362294520"/>
            </w:sdtPr>
            <w:sdtContent>
              <w:r>
                <w:rPr>
                  <w:rFonts w:ascii="Arial" w:eastAsia="Arial" w:hAnsi="Arial" w:cs="Arial"/>
                  <w:color w:val="000000"/>
                </w:rPr>
                <w:t>Are there any laws or regulation on TSA, pensions, etc. that may be added to this section? Please, include them</w:t>
              </w:r>
            </w:sdtContent>
          </w:sdt>
        </w:p>
      </w:sdtContent>
    </w:sdt>
  </w:comment>
  <w:comment w:id="310" w:author="Author" w:date="2020-07-15T05:15:00Z" w:initials="">
    <w:sdt>
      <w:sdtPr>
        <w:tag w:val="goog_rdk_553"/>
        <w:id w:val="-113675596"/>
      </w:sdtPr>
      <w:sdtContent>
        <w:p w14:paraId="0000092E"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52"/>
              <w:id w:val="-1532559129"/>
            </w:sdtPr>
            <w:sdtContent>
              <w:r>
                <w:rPr>
                  <w:rFonts w:ascii="Arial" w:eastAsia="Arial" w:hAnsi="Arial" w:cs="Arial"/>
                  <w:color w:val="000000"/>
                </w:rPr>
                <w:t>The list is requested from the Law Department of MoILSHA</w:t>
              </w:r>
            </w:sdtContent>
          </w:sdt>
        </w:p>
      </w:sdtContent>
    </w:sdt>
  </w:comment>
  <w:comment w:id="313" w:author="Author" w:date="2020-07-15T05:14:00Z" w:initials="">
    <w:sdt>
      <w:sdtPr>
        <w:tag w:val="goog_rdk_579"/>
        <w:id w:val="1790007845"/>
      </w:sdtPr>
      <w:sdtContent>
        <w:p w14:paraId="0000093B"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78"/>
              <w:id w:val="-1790974107"/>
            </w:sdtPr>
            <w:sdtContent>
              <w:r>
                <w:rPr>
                  <w:rFonts w:ascii="Arial" w:eastAsia="Arial" w:hAnsi="Arial" w:cs="Arial"/>
                  <w:color w:val="000000"/>
                </w:rPr>
                <w:t>Please expand. This is insufficient.</w:t>
              </w:r>
            </w:sdtContent>
          </w:sdt>
        </w:p>
      </w:sdtContent>
    </w:sdt>
    <w:sdt>
      <w:sdtPr>
        <w:tag w:val="goog_rdk_581"/>
        <w:id w:val="619034406"/>
      </w:sdtPr>
      <w:sdtContent>
        <w:p w14:paraId="0000093C"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80"/>
              <w:id w:val="-1702158048"/>
            </w:sdtPr>
            <w:sdtContent>
              <w:r>
                <w:rPr>
                  <w:rFonts w:ascii="Arial" w:eastAsia="Arial" w:hAnsi="Arial" w:cs="Arial"/>
                  <w:color w:val="000000"/>
                </w:rPr>
                <w:t>Describe executive functions of the ministry.</w:t>
              </w:r>
            </w:sdtContent>
          </w:sdt>
        </w:p>
      </w:sdtContent>
    </w:sdt>
  </w:comment>
  <w:comment w:id="315" w:author="Author" w:date="2020-07-15T05:14:00Z" w:initials="">
    <w:sdt>
      <w:sdtPr>
        <w:tag w:val="goog_rdk_555"/>
        <w:id w:val="-307479533"/>
      </w:sdtPr>
      <w:sdtContent>
        <w:p w14:paraId="0000092F"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54"/>
              <w:id w:val="-1007669487"/>
            </w:sdtPr>
            <w:sdtContent>
              <w:r>
                <w:rPr>
                  <w:rFonts w:ascii="Arial" w:eastAsia="Arial" w:hAnsi="Arial" w:cs="Arial"/>
                  <w:color w:val="000000"/>
                </w:rPr>
                <w:t>Description of functions is missing. Please insert.</w:t>
              </w:r>
            </w:sdtContent>
          </w:sdt>
        </w:p>
      </w:sdtContent>
    </w:sdt>
  </w:comment>
  <w:comment w:id="314" w:author="Author" w:date="2020-07-15T05:14:00Z" w:initials="">
    <w:sdt>
      <w:sdtPr>
        <w:tag w:val="goog_rdk_545"/>
        <w:id w:val="-1840849334"/>
      </w:sdtPr>
      <w:sdtContent>
        <w:p w14:paraId="0000092A"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44"/>
              <w:id w:val="-1819878959"/>
            </w:sdtPr>
            <w:sdtContent>
              <w:r>
                <w:rPr>
                  <w:rFonts w:ascii="Arial" w:eastAsia="Arial" w:hAnsi="Arial" w:cs="Arial"/>
                  <w:color w:val="000000"/>
                </w:rPr>
                <w:t>Please include the role of SESA</w:t>
              </w:r>
            </w:sdtContent>
          </w:sdt>
        </w:p>
      </w:sdtContent>
    </w:sdt>
  </w:comment>
  <w:comment w:id="357" w:author="Author" w:date="2020-07-15T05:14:00Z" w:initials="">
    <w:sdt>
      <w:sdtPr>
        <w:tag w:val="goog_rdk_537"/>
        <w:id w:val="206153344"/>
      </w:sdtPr>
      <w:sdtContent>
        <w:p w14:paraId="00000926"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36"/>
              <w:id w:val="787853477"/>
            </w:sdtPr>
            <w:sdtContent>
              <w:r>
                <w:rPr>
                  <w:rFonts w:ascii="Arial" w:eastAsia="Arial" w:hAnsi="Arial" w:cs="Arial"/>
                  <w:color w:val="000000"/>
                </w:rPr>
                <w:t>Please provide full title of this convention.</w:t>
              </w:r>
            </w:sdtContent>
          </w:sdt>
        </w:p>
      </w:sdtContent>
    </w:sdt>
  </w:comment>
  <w:comment w:id="489" w:author="Author" w:date="2020-07-15T05:14:00Z" w:initials="">
    <w:sdt>
      <w:sdtPr>
        <w:tag w:val="goog_rdk_571"/>
        <w:id w:val="-355039229"/>
      </w:sdtPr>
      <w:sdtContent>
        <w:p w14:paraId="00000937"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70"/>
              <w:id w:val="1236582712"/>
            </w:sdtPr>
            <w:sdtContent>
              <w:r>
                <w:rPr>
                  <w:rFonts w:ascii="Arial" w:eastAsia="Arial" w:hAnsi="Arial" w:cs="Arial"/>
                  <w:color w:val="000000"/>
                </w:rPr>
                <w:t>Convert to cm</w:t>
              </w:r>
            </w:sdtContent>
          </w:sdt>
        </w:p>
      </w:sdtContent>
    </w:sdt>
  </w:comment>
  <w:comment w:id="501" w:author="Author" w:date="2020-07-15T05:14:00Z" w:initials="">
    <w:sdt>
      <w:sdtPr>
        <w:tag w:val="goog_rdk_577"/>
        <w:id w:val="-509444064"/>
      </w:sdtPr>
      <w:sdtContent>
        <w:p w14:paraId="0000093A"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76"/>
              <w:id w:val="1814676322"/>
            </w:sdtPr>
            <w:sdtContent>
              <w:r>
                <w:rPr>
                  <w:rFonts w:ascii="Arial" w:eastAsia="Arial" w:hAnsi="Arial" w:cs="Arial"/>
                  <w:color w:val="000000"/>
                </w:rPr>
                <w:t>Convert to cm</w:t>
              </w:r>
            </w:sdtContent>
          </w:sdt>
        </w:p>
      </w:sdtContent>
    </w:sdt>
  </w:comment>
  <w:comment w:id="515" w:author="Author" w:date="2020-07-15T05:14:00Z" w:initials="">
    <w:sdt>
      <w:sdtPr>
        <w:tag w:val="goog_rdk_533"/>
        <w:id w:val="349685477"/>
      </w:sdtPr>
      <w:sdtContent>
        <w:p w14:paraId="00000924"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32"/>
              <w:id w:val="1383445159"/>
            </w:sdtPr>
            <w:sdtContent>
              <w:r>
                <w:rPr>
                  <w:rFonts w:ascii="Arial" w:eastAsia="Arial" w:hAnsi="Arial" w:cs="Arial"/>
                  <w:color w:val="000000"/>
                </w:rPr>
                <w:t>Convert to cm</w:t>
              </w:r>
            </w:sdtContent>
          </w:sdt>
        </w:p>
      </w:sdtContent>
    </w:sdt>
  </w:comment>
  <w:comment w:id="524" w:author="Author" w:date="2020-07-15T05:14:00Z" w:initials="">
    <w:sdt>
      <w:sdtPr>
        <w:tag w:val="goog_rdk_541"/>
        <w:id w:val="-2038805371"/>
      </w:sdtPr>
      <w:sdtContent>
        <w:p w14:paraId="00000928"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40"/>
              <w:id w:val="-649129407"/>
            </w:sdtPr>
            <w:sdtContent>
              <w:r>
                <w:rPr>
                  <w:rFonts w:ascii="Arial" w:eastAsia="Arial" w:hAnsi="Arial" w:cs="Arial"/>
                  <w:color w:val="000000"/>
                </w:rPr>
                <w:t>Convert to cm</w:t>
              </w:r>
            </w:sdtContent>
          </w:sdt>
        </w:p>
      </w:sdtContent>
    </w:sdt>
  </w:comment>
  <w:comment w:id="531" w:author="Author" w:date="2020-07-15T05:14:00Z" w:initials="">
    <w:sdt>
      <w:sdtPr>
        <w:tag w:val="goog_rdk_565"/>
        <w:id w:val="-1848470644"/>
      </w:sdtPr>
      <w:sdtContent>
        <w:p w14:paraId="00000934"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64"/>
              <w:id w:val="-317728810"/>
            </w:sdtPr>
            <w:sdtContent>
              <w:r>
                <w:rPr>
                  <w:rFonts w:ascii="Arial" w:eastAsia="Arial" w:hAnsi="Arial" w:cs="Arial"/>
                  <w:color w:val="000000"/>
                </w:rPr>
                <w:t>Transfer to mm</w:t>
              </w:r>
            </w:sdtContent>
          </w:sdt>
        </w:p>
      </w:sdtContent>
    </w:sdt>
  </w:comment>
  <w:comment w:id="583" w:author="Author" w:date="2020-07-15T05:14:00Z" w:initials="">
    <w:sdt>
      <w:sdtPr>
        <w:tag w:val="goog_rdk_519"/>
        <w:id w:val="-1963951785"/>
      </w:sdtPr>
      <w:sdtContent>
        <w:p w14:paraId="0000091D"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18"/>
              <w:id w:val="846989061"/>
            </w:sdtPr>
            <w:sdtContent>
              <w:r>
                <w:rPr>
                  <w:rFonts w:ascii="Arial" w:eastAsia="Arial" w:hAnsi="Arial" w:cs="Arial"/>
                  <w:color w:val="000000"/>
                </w:rPr>
                <w:t>Are these standards still in force?</w:t>
              </w:r>
            </w:sdtContent>
          </w:sdt>
        </w:p>
      </w:sdtContent>
    </w:sdt>
  </w:comment>
  <w:comment w:id="588" w:author="Author" w:date="2020-07-15T05:14:00Z" w:initials="">
    <w:sdt>
      <w:sdtPr>
        <w:tag w:val="goog_rdk_561"/>
        <w:id w:val="569782783"/>
      </w:sdtPr>
      <w:sdtContent>
        <w:p w14:paraId="00000932"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60"/>
              <w:id w:val="-612127842"/>
            </w:sdtPr>
            <w:sdtContent>
              <w:r>
                <w:rPr>
                  <w:rFonts w:ascii="Arial" w:eastAsia="Arial" w:hAnsi="Arial" w:cs="Arial"/>
                  <w:color w:val="000000"/>
                </w:rPr>
                <w:t>What does this mean? Reporting on the implementation of these plans? Who reports to whom?</w:t>
              </w:r>
            </w:sdtContent>
          </w:sdt>
        </w:p>
      </w:sdtContent>
    </w:sdt>
  </w:comment>
  <w:comment w:id="590" w:author="Author" w:date="2020-07-15T05:14:00Z" w:initials="">
    <w:sdt>
      <w:sdtPr>
        <w:tag w:val="goog_rdk_535"/>
        <w:id w:val="1056281180"/>
      </w:sdtPr>
      <w:sdtContent>
        <w:p w14:paraId="00000925"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34"/>
              <w:id w:val="-1583061085"/>
            </w:sdtPr>
            <w:sdtContent>
              <w:r>
                <w:rPr>
                  <w:rFonts w:ascii="Arial" w:eastAsia="Arial" w:hAnsi="Arial" w:cs="Arial"/>
                  <w:color w:val="000000"/>
                </w:rPr>
                <w:t>Insert full title of the resolution.</w:t>
              </w:r>
            </w:sdtContent>
          </w:sdt>
        </w:p>
      </w:sdtContent>
    </w:sdt>
  </w:comment>
  <w:comment w:id="594" w:author="Author" w:date="2020-07-15T05:14:00Z" w:initials="">
    <w:sdt>
      <w:sdtPr>
        <w:tag w:val="goog_rdk_509"/>
        <w:id w:val="-72827405"/>
      </w:sdtPr>
      <w:sdtContent>
        <w:p w14:paraId="00000918"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08"/>
              <w:id w:val="-309633419"/>
            </w:sdtPr>
            <w:sdtContent/>
          </w:sdt>
        </w:p>
      </w:sdtContent>
    </w:sdt>
  </w:comment>
  <w:comment w:id="596" w:author="Author" w:date="2020-07-15T05:14:00Z" w:initials="">
    <w:sdt>
      <w:sdtPr>
        <w:tag w:val="goog_rdk_513"/>
        <w:id w:val="796180932"/>
      </w:sdtPr>
      <w:sdtContent>
        <w:p w14:paraId="0000091A"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12"/>
              <w:id w:val="196439364"/>
            </w:sdtPr>
            <w:sdtContent>
              <w:r>
                <w:rPr>
                  <w:rFonts w:ascii="Arial" w:eastAsia="Arial" w:hAnsi="Arial" w:cs="Arial"/>
                  <w:color w:val="000000"/>
                </w:rPr>
                <w:t>Please provide more clarification on this</w:t>
              </w:r>
            </w:sdtContent>
          </w:sdt>
        </w:p>
      </w:sdtContent>
    </w:sdt>
  </w:comment>
  <w:comment w:id="597" w:author="Author" w:date="2020-07-15T05:14:00Z" w:initials="">
    <w:sdt>
      <w:sdtPr>
        <w:tag w:val="goog_rdk_515"/>
        <w:id w:val="346528791"/>
      </w:sdtPr>
      <w:sdtContent>
        <w:p w14:paraId="0000091B"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14"/>
              <w:id w:val="-646132926"/>
            </w:sdtPr>
            <w:sdtContent>
              <w:r>
                <w:rPr>
                  <w:rFonts w:ascii="Arial" w:eastAsia="Arial" w:hAnsi="Arial" w:cs="Arial"/>
                  <w:color w:val="000000"/>
                </w:rPr>
                <w:t>Please address this paragraph</w:t>
              </w:r>
            </w:sdtContent>
          </w:sdt>
        </w:p>
      </w:sdtContent>
    </w:sdt>
  </w:comment>
  <w:comment w:id="598" w:author="Author" w:date="2020-07-15T05:14:00Z" w:initials="">
    <w:sdt>
      <w:sdtPr>
        <w:tag w:val="goog_rdk_499"/>
        <w:id w:val="1290940583"/>
      </w:sdtPr>
      <w:sdtContent>
        <w:p w14:paraId="00000913"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498"/>
              <w:id w:val="-1812627553"/>
            </w:sdtPr>
            <w:sdtContent>
              <w:r>
                <w:rPr>
                  <w:rFonts w:ascii="Arial" w:eastAsia="Arial" w:hAnsi="Arial" w:cs="Arial"/>
                  <w:color w:val="000000"/>
                </w:rPr>
                <w:t>I think Mr Chavchavadze head of policy (crosscutting) department would be relevant person to consult on this</w:t>
              </w:r>
            </w:sdtContent>
          </w:sdt>
        </w:p>
      </w:sdtContent>
    </w:sdt>
  </w:comment>
  <w:comment w:id="604" w:author="Author" w:date="2020-07-15T05:14:00Z" w:initials="">
    <w:sdt>
      <w:sdtPr>
        <w:tag w:val="goog_rdk_503"/>
        <w:id w:val="410588765"/>
      </w:sdtPr>
      <w:sdtContent>
        <w:p w14:paraId="00000915"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02"/>
              <w:id w:val="576408404"/>
            </w:sdtPr>
            <w:sdtContent>
              <w:r>
                <w:rPr>
                  <w:rFonts w:ascii="Arial" w:eastAsia="Arial" w:hAnsi="Arial" w:cs="Arial"/>
                  <w:color w:val="000000"/>
                </w:rPr>
                <w:t>The link will be added after SEP is finalized and disclosed</w:t>
              </w:r>
            </w:sdtContent>
          </w:sdt>
        </w:p>
      </w:sdtContent>
    </w:sdt>
  </w:comment>
  <w:comment w:id="606" w:author="Author" w:date="2020-07-15T05:14:00Z" w:initials="">
    <w:sdt>
      <w:sdtPr>
        <w:tag w:val="goog_rdk_521"/>
        <w:id w:val="1098218235"/>
      </w:sdtPr>
      <w:sdtContent>
        <w:p w14:paraId="0000091E"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20"/>
              <w:id w:val="1628053126"/>
            </w:sdtPr>
            <w:sdtContent>
              <w:r>
                <w:rPr>
                  <w:rFonts w:ascii="Arial" w:eastAsia="Arial" w:hAnsi="Arial" w:cs="Arial"/>
                  <w:color w:val="000000"/>
                </w:rPr>
                <w:t>This may need re-wording if not relevant for Georgian context.</w:t>
              </w:r>
            </w:sdtContent>
          </w:sdt>
        </w:p>
      </w:sdtContent>
    </w:sdt>
  </w:comment>
  <w:comment w:id="607" w:author="Author" w:date="2020-07-15T05:15:00Z" w:initials="">
    <w:sdt>
      <w:sdtPr>
        <w:tag w:val="goog_rdk_523"/>
        <w:id w:val="-301155220"/>
      </w:sdtPr>
      <w:sdtContent>
        <w:p w14:paraId="0000091F"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22"/>
              <w:id w:val="973175771"/>
            </w:sdtPr>
            <w:sdtContent>
              <w:r>
                <w:rPr>
                  <w:rFonts w:ascii="Arial" w:eastAsia="Arial" w:hAnsi="Arial" w:cs="Arial"/>
                  <w:color w:val="000000"/>
                </w:rPr>
                <w:t>უნდა გადავანმოწმოთ როგორ ხდება მართვა</w:t>
              </w:r>
            </w:sdtContent>
          </w:sdt>
        </w:p>
      </w:sdtContent>
    </w:sdt>
  </w:comment>
  <w:comment w:id="608" w:author="Author" w:date="2020-07-15T05:14:00Z" w:initials="">
    <w:sdt>
      <w:sdtPr>
        <w:tag w:val="goog_rdk_507"/>
        <w:id w:val="-1691212703"/>
      </w:sdtPr>
      <w:sdtContent>
        <w:p w14:paraId="00000917"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06"/>
              <w:id w:val="1904328313"/>
            </w:sdtPr>
            <w:sdtContent>
              <w:r>
                <w:rPr>
                  <w:rFonts w:ascii="Arial" w:eastAsia="Arial" w:hAnsi="Arial" w:cs="Arial"/>
                  <w:color w:val="000000"/>
                </w:rPr>
                <w:t>Will review</w:t>
              </w:r>
            </w:sdtContent>
          </w:sdt>
        </w:p>
      </w:sdtContent>
    </w:sdt>
  </w:comment>
  <w:comment w:id="615" w:author="Author" w:date="2020-07-15T05:14:00Z" w:initials="">
    <w:sdt>
      <w:sdtPr>
        <w:tag w:val="goog_rdk_563"/>
        <w:id w:val="-765152889"/>
      </w:sdtPr>
      <w:sdtContent>
        <w:p w14:paraId="00000933"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62"/>
              <w:id w:val="1323247936"/>
            </w:sdtPr>
            <w:sdtContent>
              <w:r>
                <w:rPr>
                  <w:rFonts w:ascii="Arial" w:eastAsia="Arial" w:hAnsi="Arial" w:cs="Arial"/>
                  <w:color w:val="000000"/>
                </w:rPr>
                <w:t>attn</w:t>
              </w:r>
            </w:sdtContent>
          </w:sdt>
        </w:p>
      </w:sdtContent>
    </w:sdt>
  </w:comment>
  <w:comment w:id="694" w:author="Author" w:date="2020-07-15T05:14:00Z" w:initials="">
    <w:sdt>
      <w:sdtPr>
        <w:tag w:val="goog_rdk_543"/>
        <w:id w:val="347540313"/>
      </w:sdtPr>
      <w:sdtContent>
        <w:p w14:paraId="00000929"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42"/>
              <w:id w:val="-825975247"/>
            </w:sdtPr>
            <w:sdtContent>
              <w:r>
                <w:rPr>
                  <w:rFonts w:ascii="Arial" w:eastAsia="Arial" w:hAnsi="Arial" w:cs="Arial"/>
                  <w:color w:val="000000"/>
                </w:rPr>
                <w:t>need to check details with NK PM</w:t>
              </w:r>
            </w:sdtContent>
          </w:sdt>
        </w:p>
      </w:sdtContent>
    </w:sdt>
  </w:comment>
  <w:comment w:id="703" w:author="Jelena Lukic" w:date="2020-06-25T22:17:00Z" w:initials="JL">
    <w:p w14:paraId="7A18DA86" w14:textId="77777777" w:rsidR="00483E40" w:rsidRDefault="00483E40" w:rsidP="00483E40">
      <w:pPr>
        <w:pStyle w:val="CommentText"/>
      </w:pPr>
      <w:r>
        <w:rPr>
          <w:rStyle w:val="CommentReference"/>
        </w:rPr>
        <w:annotationRef/>
      </w:r>
      <w:r>
        <w:t xml:space="preserve">Please review </w:t>
      </w:r>
    </w:p>
  </w:comment>
  <w:comment w:id="705" w:author="Author" w:date="2020-07-15T05:14:00Z" w:initials="">
    <w:sdt>
      <w:sdtPr>
        <w:tag w:val="goog_rdk_567"/>
        <w:id w:val="512804404"/>
      </w:sdtPr>
      <w:sdtContent>
        <w:p w14:paraId="00000935"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66"/>
              <w:id w:val="-1179116400"/>
            </w:sdtPr>
            <w:sdtContent>
              <w:r>
                <w:rPr>
                  <w:rFonts w:ascii="Arial" w:eastAsia="Arial" w:hAnsi="Arial" w:cs="Arial"/>
                  <w:color w:val="000000"/>
                </w:rPr>
                <w:t>Please include estimated number of workers</w:t>
              </w:r>
            </w:sdtContent>
          </w:sdt>
        </w:p>
      </w:sdtContent>
    </w:sdt>
  </w:comment>
  <w:comment w:id="706" w:author="Author" w:date="2020-07-15T05:14:00Z" w:initials="">
    <w:sdt>
      <w:sdtPr>
        <w:tag w:val="goog_rdk_573"/>
        <w:id w:val="-1640024965"/>
      </w:sdtPr>
      <w:sdtContent>
        <w:p w14:paraId="00000938"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72"/>
              <w:id w:val="1243613220"/>
            </w:sdtPr>
            <w:sdtContent>
              <w:r>
                <w:rPr>
                  <w:rFonts w:ascii="Arial" w:eastAsia="Arial" w:hAnsi="Arial" w:cs="Arial"/>
                  <w:color w:val="000000"/>
                </w:rPr>
                <w:t>Please include locations</w:t>
              </w:r>
            </w:sdtContent>
          </w:sdt>
        </w:p>
      </w:sdtContent>
    </w:sdt>
  </w:comment>
  <w:comment w:id="707" w:author="Author" w:date="2020-07-15T05:14:00Z" w:initials="">
    <w:sdt>
      <w:sdtPr>
        <w:tag w:val="goog_rdk_583"/>
        <w:id w:val="-803774061"/>
      </w:sdtPr>
      <w:sdtContent>
        <w:p w14:paraId="0000093D" w14:textId="77777777" w:rsidR="00EC15FD" w:rsidRDefault="00EC15FD">
          <w:pPr>
            <w:widowControl w:val="0"/>
            <w:pBdr>
              <w:top w:val="nil"/>
              <w:left w:val="nil"/>
              <w:bottom w:val="nil"/>
              <w:right w:val="nil"/>
              <w:between w:val="nil"/>
            </w:pBdr>
            <w:spacing w:after="0" w:line="240" w:lineRule="auto"/>
            <w:rPr>
              <w:rFonts w:ascii="Arial" w:eastAsia="Arial" w:hAnsi="Arial" w:cs="Arial"/>
              <w:color w:val="000000"/>
            </w:rPr>
          </w:pPr>
          <w:sdt>
            <w:sdtPr>
              <w:tag w:val="goog_rdk_582"/>
              <w:id w:val="-1655987274"/>
            </w:sdtPr>
            <w:sdtContent>
              <w:r>
                <w:rPr>
                  <w:rFonts w:ascii="Arial" w:eastAsia="Arial" w:hAnsi="Arial" w:cs="Arial"/>
                  <w:color w:val="000000"/>
                </w:rPr>
                <w:t>The list will be updated by the end of the week</w:t>
              </w:r>
            </w:sdtContent>
          </w:sdt>
        </w:p>
      </w:sdtContent>
    </w:sdt>
  </w:comment>
  <w:comment w:id="708" w:author="Jelena Lukic" w:date="2020-06-25T22:19:00Z" w:initials="JL">
    <w:p w14:paraId="21DBA349" w14:textId="77777777" w:rsidR="00483E40" w:rsidRDefault="00483E40" w:rsidP="00483E40">
      <w:pPr>
        <w:pStyle w:val="CommentText"/>
      </w:pPr>
      <w:r>
        <w:rPr>
          <w:rStyle w:val="CommentReference"/>
        </w:rPr>
        <w:annotationRef/>
      </w:r>
      <w:r>
        <w:t xml:space="preserve">Please confirm </w:t>
      </w:r>
    </w:p>
  </w:comment>
  <w:comment w:id="715" w:author="Jelena Lukic" w:date="2020-06-25T22:22:00Z" w:initials="JL">
    <w:p w14:paraId="4F51D553" w14:textId="77777777" w:rsidR="00483E40" w:rsidRDefault="00483E40" w:rsidP="00483E40">
      <w:pPr>
        <w:pStyle w:val="CommentText"/>
      </w:pPr>
      <w:r>
        <w:rPr>
          <w:rStyle w:val="CommentReference"/>
        </w:rPr>
        <w:annotationRef/>
      </w:r>
      <w:r>
        <w:t>Thi section needs to include COVID specific measures in line with WB  guidance on COVID</w:t>
      </w:r>
    </w:p>
  </w:comment>
  <w:comment w:id="717" w:author="Jelena Lukic" w:date="2020-06-25T22:30:00Z" w:initials="JL">
    <w:p w14:paraId="0259F12D" w14:textId="77777777" w:rsidR="00483E40" w:rsidRDefault="00483E40" w:rsidP="00483E40">
      <w:pPr>
        <w:pStyle w:val="CommentText"/>
      </w:pPr>
      <w:r>
        <w:rPr>
          <w:rStyle w:val="CommentReference"/>
        </w:rPr>
        <w:annotationRef/>
      </w:r>
      <w:r>
        <w:t xml:space="preserve">Please, review and revise as relevant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930" w15:done="0"/>
  <w15:commentEx w15:paraId="00000931" w15:paraIdParent="00000930" w15:done="0"/>
  <w15:commentEx w15:paraId="0000092B" w15:done="0"/>
  <w15:commentEx w15:paraId="00000939" w15:done="0"/>
  <w15:commentEx w15:paraId="0000092C" w15:done="0"/>
  <w15:commentEx w15:paraId="00000923" w15:done="0"/>
  <w15:commentEx w15:paraId="0000093E" w15:done="0"/>
  <w15:commentEx w15:paraId="0000093F" w15:done="0"/>
  <w15:commentEx w15:paraId="00000916" w15:done="0"/>
  <w15:commentEx w15:paraId="00000936" w15:done="0"/>
  <w15:commentEx w15:paraId="00000927" w15:done="0"/>
  <w15:commentEx w15:paraId="00000919" w15:done="0"/>
  <w15:commentEx w15:paraId="00000922" w15:done="0"/>
  <w15:commentEx w15:paraId="00000914" w15:done="0"/>
  <w15:commentEx w15:paraId="00000921" w15:done="0"/>
  <w15:commentEx w15:paraId="0000091C" w15:done="0"/>
  <w15:commentEx w15:paraId="0000092D" w15:done="0"/>
  <w15:commentEx w15:paraId="0000092E" w15:paraIdParent="0000092D" w15:done="0"/>
  <w15:commentEx w15:paraId="0000093C" w15:done="0"/>
  <w15:commentEx w15:paraId="0000092F" w15:done="0"/>
  <w15:commentEx w15:paraId="0000092A" w15:done="0"/>
  <w15:commentEx w15:paraId="00000926" w15:done="0"/>
  <w15:commentEx w15:paraId="00000937" w15:done="0"/>
  <w15:commentEx w15:paraId="0000093A" w15:done="0"/>
  <w15:commentEx w15:paraId="00000924" w15:done="0"/>
  <w15:commentEx w15:paraId="00000928" w15:done="0"/>
  <w15:commentEx w15:paraId="00000934" w15:done="0"/>
  <w15:commentEx w15:paraId="0000091D" w15:done="0"/>
  <w15:commentEx w15:paraId="00000932" w15:done="0"/>
  <w15:commentEx w15:paraId="00000925" w15:done="0"/>
  <w15:commentEx w15:paraId="00000918" w15:done="0"/>
  <w15:commentEx w15:paraId="0000091A" w15:done="0"/>
  <w15:commentEx w15:paraId="0000091B" w15:paraIdParent="0000091A" w15:done="0"/>
  <w15:commentEx w15:paraId="00000913" w15:done="0"/>
  <w15:commentEx w15:paraId="00000915" w15:done="0"/>
  <w15:commentEx w15:paraId="0000091E" w15:done="0"/>
  <w15:commentEx w15:paraId="0000091F" w15:paraIdParent="0000091E" w15:done="0"/>
  <w15:commentEx w15:paraId="00000917" w15:done="0"/>
  <w15:commentEx w15:paraId="00000933" w15:done="0"/>
  <w15:commentEx w15:paraId="00000929" w15:done="0"/>
  <w15:commentEx w15:paraId="7A18DA86" w15:done="0"/>
  <w15:commentEx w15:paraId="00000935" w15:done="0"/>
  <w15:commentEx w15:paraId="00000938" w15:done="0"/>
  <w15:commentEx w15:paraId="0000093D" w15:done="0"/>
  <w15:commentEx w15:paraId="21DBA349" w15:done="0"/>
  <w15:commentEx w15:paraId="4F51D553" w15:done="0"/>
  <w15:commentEx w15:paraId="0259F12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E9C02" w14:textId="77777777" w:rsidR="00E17A18" w:rsidRDefault="00E17A18">
      <w:pPr>
        <w:spacing w:after="0" w:line="240" w:lineRule="auto"/>
      </w:pPr>
      <w:r>
        <w:separator/>
      </w:r>
    </w:p>
  </w:endnote>
  <w:endnote w:type="continuationSeparator" w:id="0">
    <w:p w14:paraId="71C3473B" w14:textId="77777777" w:rsidR="00E17A18" w:rsidRDefault="00E1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erriweather">
    <w:altName w:val="Times New Roman"/>
    <w:charset w:val="00"/>
    <w:family w:val="auto"/>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C" w14:textId="77777777" w:rsidR="00EC15FD" w:rsidRDefault="00EC15F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E" w14:textId="53AD816E" w:rsidR="00EC15FD" w:rsidRDefault="00EC15FD">
    <w:pPr>
      <w:pBdr>
        <w:top w:val="nil"/>
        <w:left w:val="nil"/>
        <w:bottom w:val="nil"/>
        <w:right w:val="nil"/>
        <w:between w:val="nil"/>
      </w:pBdr>
      <w:tabs>
        <w:tab w:val="center" w:pos="4680"/>
        <w:tab w:val="right" w:pos="9360"/>
      </w:tabs>
      <w:spacing w:after="0" w:line="240" w:lineRule="auto"/>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365777">
      <w:rPr>
        <w:smallCaps/>
        <w:noProof/>
        <w:color w:val="4F81BD"/>
      </w:rPr>
      <w:t>85</w:t>
    </w:r>
    <w:r>
      <w:rPr>
        <w:smallCaps/>
        <w:color w:val="4F81BD"/>
      </w:rPr>
      <w:fldChar w:fldCharType="end"/>
    </w:r>
  </w:p>
  <w:p w14:paraId="0000090F" w14:textId="77777777" w:rsidR="00EC15FD" w:rsidRDefault="00EC15FD">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D" w14:textId="77777777" w:rsidR="00EC15FD" w:rsidRDefault="00EC15F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2F017" w14:textId="77777777" w:rsidR="00E17A18" w:rsidRDefault="00E17A18">
      <w:pPr>
        <w:spacing w:after="0" w:line="240" w:lineRule="auto"/>
      </w:pPr>
      <w:r>
        <w:separator/>
      </w:r>
    </w:p>
  </w:footnote>
  <w:footnote w:type="continuationSeparator" w:id="0">
    <w:p w14:paraId="65F04513" w14:textId="77777777" w:rsidR="00E17A18" w:rsidRDefault="00E17A18">
      <w:pPr>
        <w:spacing w:after="0" w:line="240" w:lineRule="auto"/>
      </w:pPr>
      <w:r>
        <w:continuationSeparator/>
      </w:r>
    </w:p>
  </w:footnote>
  <w:footnote w:id="1">
    <w:p w14:paraId="000008CB"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https://www.worldbank.org/en/projects-operations/environmental-and-social-framework</w:t>
        </w:r>
      </w:hyperlink>
    </w:p>
  </w:footnote>
  <w:footnote w:id="2">
    <w:sdt>
      <w:sdtPr>
        <w:tag w:val="goog_rdk_442"/>
        <w:id w:val="821706674"/>
      </w:sdtPr>
      <w:sdtContent>
        <w:p w14:paraId="000008CC" w14:textId="77777777" w:rsidR="00EC15FD" w:rsidRDefault="00EC15FD">
          <w:pPr>
            <w:pBdr>
              <w:top w:val="nil"/>
              <w:left w:val="nil"/>
              <w:bottom w:val="nil"/>
              <w:right w:val="nil"/>
              <w:between w:val="nil"/>
            </w:pBdr>
            <w:spacing w:after="0" w:line="240" w:lineRule="auto"/>
            <w:rPr>
              <w:ins w:id="24" w:author="Author" w:date="2020-07-15T05:14:00Z"/>
              <w:color w:val="000000"/>
              <w:sz w:val="20"/>
              <w:szCs w:val="20"/>
            </w:rPr>
          </w:pPr>
          <w:r>
            <w:rPr>
              <w:rStyle w:val="FootnoteReference"/>
            </w:rPr>
            <w:footnoteRef/>
          </w:r>
          <w:r>
            <w:rPr>
              <w:color w:val="000000"/>
              <w:sz w:val="20"/>
              <w:szCs w:val="20"/>
            </w:rPr>
            <w:t xml:space="preserve"> THE WORLD BANK’S RISK FRAMEWORK FOR OPERATIONS: </w:t>
          </w:r>
          <w:hyperlink r:id="rId2">
            <w:r>
              <w:rPr>
                <w:color w:val="0000FF"/>
                <w:sz w:val="20"/>
                <w:szCs w:val="20"/>
                <w:u w:val="single"/>
              </w:rPr>
              <w:t>http://documents1.worldbank.org/curated/en/450751468184738008/pdf/105090-BR-AC2016-0014-CODE2016-0017-Box394888B-PUBLIC-disclosed-4-27-16.pdf</w:t>
            </w:r>
          </w:hyperlink>
          <w:sdt>
            <w:sdtPr>
              <w:tag w:val="goog_rdk_441"/>
              <w:id w:val="-1133946022"/>
            </w:sdtPr>
            <w:sdtContent/>
          </w:sdt>
        </w:p>
      </w:sdtContent>
    </w:sdt>
    <w:p w14:paraId="000008CD" w14:textId="77777777" w:rsidR="00EC15FD" w:rsidRDefault="00EC15FD">
      <w:pPr>
        <w:widowControl w:val="0"/>
        <w:pBdr>
          <w:top w:val="nil"/>
          <w:left w:val="nil"/>
          <w:bottom w:val="nil"/>
          <w:right w:val="nil"/>
          <w:between w:val="nil"/>
        </w:pBdr>
        <w:spacing w:after="0"/>
        <w:rPr>
          <w:color w:val="000000"/>
          <w:sz w:val="20"/>
          <w:szCs w:val="20"/>
        </w:rPr>
      </w:pPr>
    </w:p>
  </w:footnote>
  <w:footnote w:id="3">
    <w:sdt>
      <w:sdtPr>
        <w:tag w:val="goog_rdk_480"/>
        <w:id w:val="611410238"/>
      </w:sdtPr>
      <w:sdtContent>
        <w:p w14:paraId="00000910" w14:textId="77777777" w:rsidR="00EC15FD" w:rsidRDefault="00EC15FD">
          <w:pPr>
            <w:spacing w:after="0" w:line="240" w:lineRule="auto"/>
            <w:rPr>
              <w:ins w:id="28" w:author="Giorgi Kobaladze" w:date="2020-07-17T06:14:00Z"/>
              <w:rFonts w:ascii="Times New Roman" w:eastAsia="Times New Roman" w:hAnsi="Times New Roman" w:cs="Times New Roman"/>
              <w:color w:val="000000"/>
            </w:rPr>
          </w:pPr>
          <w:r>
            <w:rPr>
              <w:rStyle w:val="FootnoteReference"/>
            </w:rPr>
            <w:footnoteRef/>
          </w:r>
          <w:sdt>
            <w:sdtPr>
              <w:tag w:val="goog_rdk_479"/>
              <w:id w:val="-372375166"/>
            </w:sdtPr>
            <w:sdtContent>
              <w:ins w:id="29" w:author="Giorgi Kobaladze" w:date="2020-07-17T06:14:00Z">
                <w:r>
                  <w:rPr>
                    <w:rFonts w:ascii="Times New Roman" w:eastAsia="Times New Roman" w:hAnsi="Times New Roman" w:cs="Times New Roman"/>
                    <w:color w:val="000000"/>
                  </w:rPr>
                  <w:t xml:space="preserve"> EU directive 2000/76/EC on the incineration of waste: </w:t>
                </w:r>
                <w:r>
                  <w:fldChar w:fldCharType="begin"/>
                </w:r>
                <w:r>
                  <w:instrText>HYPERLINK "https://eur-lex.europa.eu/legal-content/EN/TXT/?uri=LEGISSUM:l28072"</w:instrText>
                </w:r>
                <w:r>
                  <w:fldChar w:fldCharType="separate"/>
                </w:r>
                <w:r>
                  <w:rPr>
                    <w:rFonts w:ascii="Times New Roman" w:eastAsia="Times New Roman" w:hAnsi="Times New Roman" w:cs="Times New Roman"/>
                    <w:color w:val="000000"/>
                  </w:rPr>
                  <w:t>https://eur-lex.europa.eu/legal-content/EN/TXT/?uri=LEGISSUM:l28072</w:t>
                </w:r>
                <w:r>
                  <w:fldChar w:fldCharType="end"/>
                </w:r>
              </w:ins>
            </w:sdtContent>
          </w:sdt>
        </w:p>
      </w:sdtContent>
    </w:sdt>
  </w:footnote>
  <w:footnote w:id="4">
    <w:p w14:paraId="000008CE"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sdt>
        <w:sdtPr>
          <w:tag w:val="goog_rdk_444"/>
          <w:id w:val="-578668648"/>
        </w:sdtPr>
        <w:sdtContent>
          <w:ins w:id="55" w:author="Author" w:date="2020-07-15T05:14:00Z">
            <w:r>
              <w:rPr>
                <w:color w:val="000000"/>
                <w:sz w:val="20"/>
                <w:szCs w:val="20"/>
              </w:rPr>
              <w:t xml:space="preserve"> </w:t>
            </w:r>
          </w:ins>
        </w:sdtContent>
      </w:sdt>
      <w:r>
        <w:rPr>
          <w:color w:val="000000"/>
          <w:sz w:val="20"/>
          <w:szCs w:val="20"/>
        </w:rPr>
        <w:t>Resolution of the Government of Georgia № 421, Article 6.1.C</w:t>
      </w:r>
    </w:p>
  </w:footnote>
  <w:footnote w:id="5">
    <w:p w14:paraId="000008CF"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Web page of the Ministry of Defense of Georgia: </w:t>
      </w:r>
      <w:hyperlink r:id="rId3">
        <w:r>
          <w:rPr>
            <w:color w:val="0000FF"/>
            <w:sz w:val="20"/>
            <w:szCs w:val="20"/>
            <w:u w:val="single"/>
          </w:rPr>
          <w:t>https://mod.gov.ge/en/news/read/7805/defense-minister-viewed-special-checkpoints-set-up-by-defense-forces-in-marneuli</w:t>
        </w:r>
      </w:hyperlink>
    </w:p>
  </w:footnote>
  <w:footnote w:id="6">
    <w:p w14:paraId="000008D0"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General Administrative Code of Georgia: </w:t>
      </w:r>
      <w:hyperlink r:id="rId4">
        <w:r>
          <w:rPr>
            <w:color w:val="0000FF"/>
            <w:sz w:val="20"/>
            <w:szCs w:val="20"/>
            <w:u w:val="single"/>
          </w:rPr>
          <w:t>https://matsne.gov.ge/en/document/download/16270/18/en/pdf</w:t>
        </w:r>
      </w:hyperlink>
    </w:p>
  </w:footnote>
  <w:footnote w:id="7">
    <w:p w14:paraId="000008D1"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Law of Georgia - Environmental Impact Assessment Code: </w:t>
      </w:r>
      <w:hyperlink r:id="rId5">
        <w:r>
          <w:rPr>
            <w:color w:val="0000FF"/>
            <w:sz w:val="20"/>
            <w:szCs w:val="20"/>
            <w:u w:val="single"/>
          </w:rPr>
          <w:t>https://matsne.gov.ge/en/document/download/3691981/1/en/pdf</w:t>
        </w:r>
      </w:hyperlink>
    </w:p>
  </w:footnote>
  <w:footnote w:id="8">
    <w:p w14:paraId="000008D2"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 Directive2014/52/EU</w:t>
      </w:r>
      <w:sdt>
        <w:sdtPr>
          <w:tag w:val="goog_rdk_445"/>
          <w:id w:val="692185528"/>
        </w:sdtPr>
        <w:sdtContent>
          <w:ins w:id="69" w:author="Giorgi Kobaladze" w:date="2020-07-17T06:19:00Z">
            <w:r>
              <w:rPr>
                <w:color w:val="000000"/>
                <w:sz w:val="20"/>
                <w:szCs w:val="20"/>
              </w:rPr>
              <w:t xml:space="preserve"> </w:t>
            </w:r>
          </w:ins>
          <w:sdt>
            <w:sdtPr>
              <w:tag w:val="goog_rdk_446"/>
              <w:id w:val="109172911"/>
            </w:sdtPr>
            <w:sdtContent>
              <w:ins w:id="70" w:author="Giorgi Kobaladze" w:date="2020-07-17T06:19:00Z">
                <w:r>
                  <w:rPr>
                    <w:color w:val="000000"/>
                    <w:sz w:val="20"/>
                    <w:szCs w:val="20"/>
                    <w:shd w:val="clear" w:color="auto" w:fill="FEFEFE"/>
                    <w:rPrChange w:id="71" w:author="Giorgi Kobaladze" w:date="2020-07-17T06:19:00Z">
                      <w:rPr>
                        <w:color w:val="000000"/>
                        <w:sz w:val="20"/>
                        <w:szCs w:val="20"/>
                      </w:rPr>
                    </w:rPrChange>
                  </w:rPr>
                  <w:t>on the assessment of the effects of certain public and private projects on the environment.</w:t>
                </w:r>
              </w:ins>
            </w:sdtContent>
          </w:sdt>
        </w:sdtContent>
      </w:sdt>
      <w:sdt>
        <w:sdtPr>
          <w:tag w:val="goog_rdk_447"/>
          <w:id w:val="-1722513255"/>
        </w:sdtPr>
        <w:sdtContent>
          <w:r>
            <w:rPr>
              <w:color w:val="000000"/>
              <w:sz w:val="20"/>
              <w:szCs w:val="20"/>
              <w:shd w:val="clear" w:color="auto" w:fill="FEFEFE"/>
              <w:rPrChange w:id="72" w:author="Giorgi Kobaladze" w:date="2020-07-17T06:19:00Z">
                <w:rPr>
                  <w:color w:val="000000"/>
                  <w:sz w:val="20"/>
                  <w:szCs w:val="20"/>
                </w:rPr>
              </w:rPrChange>
            </w:rPr>
            <w:t xml:space="preserve">: </w:t>
          </w:r>
        </w:sdtContent>
      </w:sdt>
      <w:hyperlink r:id="rId6">
        <w:r>
          <w:rPr>
            <w:color w:val="0000FF"/>
            <w:sz w:val="20"/>
            <w:szCs w:val="20"/>
            <w:u w:val="single"/>
          </w:rPr>
          <w:t>https://eur-lex.europa.eu/legal-content/EN/TXT/?uri=CELEX:32014L0052</w:t>
        </w:r>
      </w:hyperlink>
    </w:p>
  </w:footnote>
  <w:footnote w:id="9">
    <w:sdt>
      <w:sdtPr>
        <w:tag w:val="goog_rdk_449"/>
        <w:id w:val="1131907308"/>
      </w:sdtPr>
      <w:sdtContent>
        <w:p w14:paraId="000008D3" w14:textId="77777777" w:rsidR="00EC15FD" w:rsidRDefault="00EC15FD">
          <w:pPr>
            <w:pBdr>
              <w:top w:val="nil"/>
              <w:left w:val="nil"/>
              <w:bottom w:val="nil"/>
              <w:right w:val="nil"/>
              <w:between w:val="nil"/>
            </w:pBdr>
            <w:spacing w:after="0" w:line="240" w:lineRule="auto"/>
            <w:rPr>
              <w:ins w:id="78" w:author="Author" w:date="2020-07-15T05:14:00Z"/>
              <w:color w:val="000000"/>
              <w:sz w:val="20"/>
              <w:szCs w:val="20"/>
            </w:rPr>
          </w:pPr>
          <w:r>
            <w:rPr>
              <w:rStyle w:val="FootnoteReference"/>
            </w:rPr>
            <w:footnoteRef/>
          </w:r>
          <w:r>
            <w:rPr>
              <w:color w:val="000000"/>
              <w:sz w:val="20"/>
              <w:szCs w:val="20"/>
            </w:rPr>
            <w:t xml:space="preserve"> Law Of Georgia on Environmental Protection: </w:t>
          </w:r>
          <w:hyperlink r:id="rId7">
            <w:r>
              <w:rPr>
                <w:color w:val="0000FF"/>
                <w:sz w:val="20"/>
                <w:szCs w:val="20"/>
                <w:u w:val="single"/>
              </w:rPr>
              <w:t>https://www.matsne.gov.ge/ka/document/download/33340/19/en/pdf</w:t>
            </w:r>
          </w:hyperlink>
          <w:sdt>
            <w:sdtPr>
              <w:tag w:val="goog_rdk_448"/>
              <w:id w:val="-1424333587"/>
            </w:sdtPr>
            <w:sdtContent/>
          </w:sdt>
        </w:p>
      </w:sdtContent>
    </w:sdt>
    <w:p w14:paraId="000008D4" w14:textId="77777777" w:rsidR="00EC15FD" w:rsidRDefault="00EC15FD">
      <w:pPr>
        <w:widowControl w:val="0"/>
        <w:pBdr>
          <w:top w:val="nil"/>
          <w:left w:val="nil"/>
          <w:bottom w:val="nil"/>
          <w:right w:val="nil"/>
          <w:between w:val="nil"/>
        </w:pBdr>
        <w:spacing w:after="0"/>
        <w:rPr>
          <w:color w:val="000000"/>
          <w:sz w:val="20"/>
          <w:szCs w:val="20"/>
        </w:rPr>
      </w:pPr>
    </w:p>
  </w:footnote>
  <w:footnote w:id="10">
    <w:p w14:paraId="000008D5"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Law of Georgia - Waste Management Code: </w:t>
      </w:r>
      <w:hyperlink r:id="rId8">
        <w:r>
          <w:rPr>
            <w:color w:val="0000FF"/>
            <w:sz w:val="20"/>
            <w:szCs w:val="20"/>
            <w:u w:val="single"/>
          </w:rPr>
          <w:t>https://matsne.gov.ge/ka/document/download/2676416/1/en/pdf</w:t>
        </w:r>
      </w:hyperlink>
    </w:p>
  </w:footnote>
  <w:footnote w:id="11">
    <w:p w14:paraId="000008D6"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Law of Georgia on Water: </w:t>
      </w:r>
      <w:hyperlink r:id="rId9">
        <w:r>
          <w:rPr>
            <w:color w:val="0000FF"/>
            <w:sz w:val="20"/>
            <w:szCs w:val="20"/>
            <w:u w:val="single"/>
          </w:rPr>
          <w:t>https://matsne.gov.ge/ru/document/download/33448/19/en/pdf</w:t>
        </w:r>
      </w:hyperlink>
    </w:p>
  </w:footnote>
  <w:footnote w:id="12">
    <w:p w14:paraId="000008D7"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Law of Georgia on Soil Protection:  </w:t>
      </w:r>
      <w:hyperlink r:id="rId10">
        <w:r>
          <w:rPr>
            <w:color w:val="0000FF"/>
            <w:sz w:val="20"/>
            <w:szCs w:val="20"/>
            <w:u w:val="single"/>
          </w:rPr>
          <w:t>https://matsne.gov.ge/ka/document/view/93874?publication=7</w:t>
        </w:r>
      </w:hyperlink>
    </w:p>
  </w:footnote>
  <w:footnote w:id="13">
    <w:sdt>
      <w:sdtPr>
        <w:tag w:val="goog_rdk_452"/>
        <w:id w:val="-393895276"/>
      </w:sdtPr>
      <w:sdtContent>
        <w:p w14:paraId="000008D8" w14:textId="77777777" w:rsidR="00EC15FD" w:rsidRDefault="00EC15FD">
          <w:pPr>
            <w:pBdr>
              <w:top w:val="nil"/>
              <w:left w:val="nil"/>
              <w:bottom w:val="nil"/>
              <w:right w:val="nil"/>
              <w:between w:val="nil"/>
            </w:pBdr>
            <w:spacing w:after="0" w:line="240" w:lineRule="auto"/>
            <w:rPr>
              <w:ins w:id="81" w:author="Author" w:date="2020-07-15T05:14:00Z"/>
              <w:del w:id="82" w:author="Giorgi Kobaladze" w:date="2020-07-17T06:22:00Z"/>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Law of Georgia on Protection of Atmospheric Air:</w:t>
          </w:r>
          <w:r>
            <w:rPr>
              <w:color w:val="000000"/>
              <w:sz w:val="20"/>
              <w:szCs w:val="20"/>
            </w:rPr>
            <w:t xml:space="preserve"> </w:t>
          </w:r>
          <w:hyperlink r:id="rId11">
            <w:r>
              <w:rPr>
                <w:color w:val="0000FF"/>
                <w:sz w:val="20"/>
                <w:szCs w:val="20"/>
                <w:u w:val="single"/>
              </w:rPr>
              <w:t>https://mepa.gov.ge/Ge/Files/ViewFile/1609</w:t>
            </w:r>
          </w:hyperlink>
          <w:sdt>
            <w:sdtPr>
              <w:tag w:val="goog_rdk_450"/>
              <w:id w:val="2117947062"/>
            </w:sdtPr>
            <w:sdtContent>
              <w:customXmlInsRangeStart w:id="83" w:author="Author" w:date="2020-07-15T05:14:00Z"/>
              <w:sdt>
                <w:sdtPr>
                  <w:tag w:val="goog_rdk_451"/>
                  <w:id w:val="295337054"/>
                </w:sdtPr>
                <w:sdtContent>
                  <w:customXmlInsRangeEnd w:id="83"/>
                  <w:customXmlInsRangeStart w:id="84" w:author="Author" w:date="2020-07-15T05:14:00Z"/>
                </w:sdtContent>
              </w:sdt>
              <w:customXmlInsRangeEnd w:id="84"/>
            </w:sdtContent>
          </w:sdt>
        </w:p>
      </w:sdtContent>
    </w:sdt>
    <w:sdt>
      <w:sdtPr>
        <w:tag w:val="goog_rdk_453"/>
        <w:id w:val="1894998956"/>
      </w:sdtPr>
      <w:sdtContent>
        <w:p w14:paraId="000008D9" w14:textId="77777777" w:rsidR="00EC15FD" w:rsidRDefault="00EC15FD">
          <w:pPr>
            <w:pBdr>
              <w:top w:val="nil"/>
              <w:left w:val="nil"/>
              <w:bottom w:val="nil"/>
              <w:right w:val="nil"/>
              <w:between w:val="nil"/>
            </w:pBdr>
            <w:spacing w:after="0" w:line="240" w:lineRule="auto"/>
            <w:rPr>
              <w:color w:val="000000"/>
              <w:sz w:val="20"/>
              <w:szCs w:val="20"/>
            </w:rPr>
            <w:pPrChange w:id="85" w:author="Giorgi Kobaladze" w:date="2020-07-17T06:22:00Z">
              <w:pPr>
                <w:widowControl w:val="0"/>
                <w:pBdr>
                  <w:top w:val="nil"/>
                  <w:left w:val="nil"/>
                  <w:bottom w:val="nil"/>
                  <w:right w:val="nil"/>
                  <w:between w:val="nil"/>
                </w:pBdr>
                <w:spacing w:after="0"/>
              </w:pPr>
            </w:pPrChange>
          </w:pPr>
        </w:p>
      </w:sdtContent>
    </w:sdt>
  </w:footnote>
  <w:footnote w:id="14">
    <w:p w14:paraId="000008DA"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Law of Georgia on Ambient Air Protection: </w:t>
      </w:r>
      <w:hyperlink r:id="rId12">
        <w:r>
          <w:rPr>
            <w:color w:val="0000FF"/>
            <w:sz w:val="20"/>
            <w:szCs w:val="20"/>
            <w:u w:val="single"/>
          </w:rPr>
          <w:t>https://matsne.gov.ge/en/document/download/16210/11/en/pdf</w:t>
        </w:r>
      </w:hyperlink>
    </w:p>
  </w:footnote>
  <w:footnote w:id="15">
    <w:sdt>
      <w:sdtPr>
        <w:tag w:val="goog_rdk_489"/>
        <w:id w:val="267358451"/>
      </w:sdtPr>
      <w:sdtContent>
        <w:p w14:paraId="00000911" w14:textId="77777777" w:rsidR="00EC15FD" w:rsidRPr="009F1887" w:rsidRDefault="00EC15FD">
          <w:pPr>
            <w:spacing w:after="0" w:line="240" w:lineRule="auto"/>
            <w:rPr>
              <w:ins w:id="107" w:author="Giorgi Kobaladze" w:date="2020-07-17T06:21:00Z"/>
              <w:sz w:val="20"/>
              <w:szCs w:val="20"/>
              <w:highlight w:val="white"/>
              <w:rPrChange w:id="108" w:author="Giorgi Kobaladze" w:date="2020-07-17T06:14:00Z">
                <w:rPr>
                  <w:ins w:id="109" w:author="Giorgi Kobaladze" w:date="2020-07-17T06:21:00Z"/>
                  <w:rFonts w:ascii="Times New Roman" w:eastAsia="Times New Roman" w:hAnsi="Times New Roman" w:cs="Times New Roman"/>
                  <w:color w:val="000000"/>
                </w:rPr>
              </w:rPrChange>
            </w:rPr>
          </w:pPr>
          <w:r>
            <w:rPr>
              <w:rStyle w:val="FootnoteReference"/>
            </w:rPr>
            <w:footnoteRef/>
          </w:r>
          <w:sdt>
            <w:sdtPr>
              <w:tag w:val="goog_rdk_482"/>
              <w:id w:val="-544525380"/>
            </w:sdtPr>
            <w:sdtContent>
              <w:sdt>
                <w:sdtPr>
                  <w:tag w:val="goog_rdk_483"/>
                  <w:id w:val="-429817647"/>
                </w:sdtPr>
                <w:sdtContent>
                  <w:ins w:id="110" w:author="Giorgi Kobaladze" w:date="2020-07-17T06:21:00Z">
                    <w:r>
                      <w:rPr>
                        <w:sz w:val="20"/>
                        <w:szCs w:val="20"/>
                        <w:highlight w:val="white"/>
                        <w:rPrChange w:id="111" w:author="Giorgi Kobaladze" w:date="2020-07-17T06:14:00Z">
                          <w:rPr>
                            <w:rFonts w:ascii="Times New Roman" w:eastAsia="Times New Roman" w:hAnsi="Times New Roman" w:cs="Times New Roman"/>
                            <w:color w:val="000000"/>
                          </w:rPr>
                        </w:rPrChange>
                      </w:rPr>
                      <w:t xml:space="preserve"> </w:t>
                    </w:r>
                  </w:ins>
                </w:sdtContent>
              </w:sdt>
              <w:customXmlInsRangeStart w:id="112" w:author="Giorgi Kobaladze" w:date="2020-07-17T06:21:00Z"/>
              <w:sdt>
                <w:sdtPr>
                  <w:tag w:val="goog_rdk_484"/>
                  <w:id w:val="923450622"/>
                </w:sdtPr>
                <w:sdtContent>
                  <w:customXmlInsRangeEnd w:id="112"/>
                  <w:ins w:id="113" w:author="Giorgi Kobaladze" w:date="2020-07-17T06:21:00Z">
                    <w:r>
                      <w:rPr>
                        <w:sz w:val="20"/>
                        <w:szCs w:val="20"/>
                        <w:highlight w:val="white"/>
                        <w:rPrChange w:id="114" w:author="Giorgi Kobaladze" w:date="2020-07-17T06:14:00Z">
                          <w:rPr>
                            <w:rFonts w:ascii="Times New Roman" w:eastAsia="Times New Roman" w:hAnsi="Times New Roman" w:cs="Times New Roman"/>
                            <w:color w:val="000000"/>
                          </w:rPr>
                        </w:rPrChange>
                      </w:rPr>
                      <w:t xml:space="preserve">Technical regulation on standards on ambient air quality </w:t>
                    </w:r>
                  </w:ins>
                  <w:customXmlInsRangeStart w:id="115" w:author="Giorgi Kobaladze" w:date="2020-07-17T06:21:00Z"/>
                </w:sdtContent>
              </w:sdt>
              <w:customXmlInsRangeEnd w:id="115"/>
              <w:ins w:id="116" w:author="Giorgi Kobaladze" w:date="2020-07-17T06:21:00Z">
                <w:r>
                  <w:fldChar w:fldCharType="begin"/>
                </w:r>
                <w:r>
                  <w:instrText>HYPERLINK "https://matsne.gov.ge/ka/document/view/4277611?publication=0"</w:instrText>
                </w:r>
                <w:r>
                  <w:fldChar w:fldCharType="separate"/>
                </w:r>
              </w:ins>
              <w:customXmlInsRangeStart w:id="117" w:author="Giorgi Kobaladze" w:date="2020-07-17T06:21:00Z"/>
              <w:sdt>
                <w:sdtPr>
                  <w:tag w:val="goog_rdk_485"/>
                  <w:id w:val="-989332762"/>
                </w:sdtPr>
                <w:sdtContent>
                  <w:customXmlInsRangeEnd w:id="117"/>
                  <w:ins w:id="118" w:author="Giorgi Kobaladze" w:date="2020-07-17T06:21:00Z">
                    <w:r>
                      <w:rPr>
                        <w:sz w:val="20"/>
                        <w:szCs w:val="20"/>
                        <w:highlight w:val="white"/>
                        <w:rPrChange w:id="119" w:author="Giorgi Kobaladze" w:date="2020-07-17T06:14:00Z">
                          <w:rPr>
                            <w:rFonts w:ascii="Times New Roman" w:eastAsia="Times New Roman" w:hAnsi="Times New Roman" w:cs="Times New Roman"/>
                            <w:color w:val="000000"/>
                          </w:rPr>
                        </w:rPrChange>
                      </w:rPr>
                      <w:t xml:space="preserve"> </w:t>
                    </w:r>
                  </w:ins>
                  <w:customXmlInsRangeStart w:id="120" w:author="Giorgi Kobaladze" w:date="2020-07-17T06:21:00Z"/>
                </w:sdtContent>
              </w:sdt>
              <w:customXmlInsRangeEnd w:id="120"/>
              <w:ins w:id="121" w:author="Giorgi Kobaladze" w:date="2020-07-17T06:21:00Z">
                <w:r>
                  <w:fldChar w:fldCharType="end"/>
                </w:r>
                <w:r>
                  <w:fldChar w:fldCharType="begin"/>
                </w:r>
                <w:r>
                  <w:instrText>HYPERLINK "https://matsne.gov.ge/ka/document/view/4277611?publication=0"</w:instrText>
                </w:r>
                <w:r>
                  <w:fldChar w:fldCharType="separate"/>
                </w:r>
              </w:ins>
              <w:customXmlInsRangeStart w:id="122" w:author="Giorgi Kobaladze" w:date="2020-07-17T06:21:00Z"/>
              <w:sdt>
                <w:sdtPr>
                  <w:tag w:val="goog_rdk_486"/>
                  <w:id w:val="-880096532"/>
                </w:sdtPr>
                <w:sdtContent>
                  <w:customXmlInsRangeEnd w:id="122"/>
                  <w:ins w:id="123" w:author="Giorgi Kobaladze" w:date="2020-07-17T06:21:00Z">
                    <w:r>
                      <w:rPr>
                        <w:sz w:val="20"/>
                        <w:szCs w:val="20"/>
                        <w:highlight w:val="white"/>
                        <w:rPrChange w:id="124" w:author="Giorgi Kobaladze" w:date="2020-07-17T06:14:00Z">
                          <w:rPr>
                            <w:rFonts w:ascii="Times New Roman" w:eastAsia="Times New Roman" w:hAnsi="Times New Roman" w:cs="Times New Roman"/>
                            <w:color w:val="000000"/>
                          </w:rPr>
                        </w:rPrChange>
                      </w:rPr>
                      <w:t>https://matsne.gov.ge/ka/document/view/4277611?publication=0</w:t>
                    </w:r>
                  </w:ins>
                  <w:customXmlInsRangeStart w:id="125" w:author="Giorgi Kobaladze" w:date="2020-07-17T06:21:00Z"/>
                </w:sdtContent>
              </w:sdt>
              <w:customXmlInsRangeEnd w:id="125"/>
              <w:ins w:id="126" w:author="Giorgi Kobaladze" w:date="2020-07-17T06:21:00Z">
                <w:r>
                  <w:fldChar w:fldCharType="end"/>
                </w:r>
              </w:ins>
              <w:customXmlInsRangeStart w:id="127" w:author="Giorgi Kobaladze" w:date="2020-07-17T06:21:00Z"/>
              <w:sdt>
                <w:sdtPr>
                  <w:tag w:val="goog_rdk_487"/>
                  <w:id w:val="637544551"/>
                </w:sdtPr>
                <w:sdtContent>
                  <w:customXmlInsRangeEnd w:id="127"/>
                  <w:ins w:id="128" w:author="Giorgi Kobaladze" w:date="2020-07-17T06:21:00Z">
                    <w:r>
                      <w:rPr>
                        <w:sz w:val="20"/>
                        <w:szCs w:val="20"/>
                        <w:highlight w:val="white"/>
                        <w:rPrChange w:id="129" w:author="Giorgi Kobaladze" w:date="2020-07-17T06:14:00Z">
                          <w:rPr>
                            <w:rFonts w:ascii="Times New Roman" w:eastAsia="Times New Roman" w:hAnsi="Times New Roman" w:cs="Times New Roman"/>
                            <w:color w:val="000000"/>
                          </w:rPr>
                        </w:rPrChange>
                      </w:rPr>
                      <w:t xml:space="preserve"> </w:t>
                    </w:r>
                  </w:ins>
                  <w:customXmlInsRangeStart w:id="130" w:author="Giorgi Kobaladze" w:date="2020-07-17T06:21:00Z"/>
                </w:sdtContent>
              </w:sdt>
              <w:customXmlInsRangeEnd w:id="130"/>
              <w:customXmlInsRangeStart w:id="131" w:author="Giorgi Kobaladze" w:date="2020-07-17T06:21:00Z"/>
              <w:sdt>
                <w:sdtPr>
                  <w:tag w:val="goog_rdk_488"/>
                  <w:id w:val="969858318"/>
                </w:sdtPr>
                <w:sdtContent>
                  <w:customXmlInsRangeEnd w:id="131"/>
                  <w:customXmlInsRangeStart w:id="132" w:author="Giorgi Kobaladze" w:date="2020-07-17T06:21:00Z"/>
                </w:sdtContent>
              </w:sdt>
              <w:customXmlInsRangeEnd w:id="132"/>
            </w:sdtContent>
          </w:sdt>
        </w:p>
      </w:sdtContent>
    </w:sdt>
  </w:footnote>
  <w:footnote w:id="16">
    <w:p w14:paraId="000008DB"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13">
        <w:r>
          <w:rPr>
            <w:rFonts w:ascii="Times New Roman" w:eastAsia="Times New Roman" w:hAnsi="Times New Roman" w:cs="Times New Roman"/>
            <w:color w:val="0000FF"/>
            <w:sz w:val="20"/>
            <w:szCs w:val="20"/>
            <w:u w:val="single"/>
          </w:rPr>
          <w:t>http://documents.worldbank.org/curated/en/157871484635724258/Environmental-health-and-safety-general-guidelines</w:t>
        </w:r>
      </w:hyperlink>
    </w:p>
  </w:footnote>
  <w:footnote w:id="17">
    <w:p w14:paraId="000008DC"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color w:val="000000"/>
          <w:sz w:val="20"/>
          <w:szCs w:val="20"/>
        </w:rPr>
        <w:t xml:space="preserve">  </w:t>
      </w:r>
      <w:hyperlink r:id="rId14">
        <w:r>
          <w:rPr>
            <w:rFonts w:ascii="Times New Roman" w:eastAsia="Times New Roman" w:hAnsi="Times New Roman" w:cs="Times New Roman"/>
            <w:color w:val="0000FF"/>
            <w:sz w:val="20"/>
            <w:szCs w:val="20"/>
            <w:u w:val="single"/>
          </w:rPr>
          <w:t>https://www.ifc.org/wps/wcm/connect/960ef524-1fa5-4696-8db3-82c60edf5367/Final%2B-%2BHealth%2BCare%2BFacilities.pdf?MOD=AJPERES&amp;CVID=jqeCW2Q&amp;id=1323161961169</w:t>
        </w:r>
      </w:hyperlink>
    </w:p>
  </w:footnote>
  <w:footnote w:id="18">
    <w:p w14:paraId="000008DD"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15">
        <w:r>
          <w:rPr>
            <w:rFonts w:ascii="Times New Roman" w:eastAsia="Times New Roman" w:hAnsi="Times New Roman" w:cs="Times New Roman"/>
            <w:color w:val="0000FF"/>
            <w:sz w:val="20"/>
            <w:szCs w:val="20"/>
            <w:u w:val="single"/>
          </w:rPr>
          <w:t>https://www.who.int/emergencies/diseases/novel-coronavirus-2019</w:t>
        </w:r>
      </w:hyperlink>
      <w:hyperlink r:id="rId16">
        <w:r>
          <w:rPr>
            <w:rFonts w:ascii="Times New Roman" w:eastAsia="Times New Roman" w:hAnsi="Times New Roman" w:cs="Times New Roman"/>
            <w:color w:val="000000"/>
            <w:sz w:val="20"/>
            <w:szCs w:val="20"/>
          </w:rPr>
          <w:t xml:space="preserve"> (accessed on June 28</w:t>
        </w:r>
      </w:hyperlink>
      <w:r>
        <w:rPr>
          <w:rFonts w:ascii="Times New Roman" w:eastAsia="Times New Roman" w:hAnsi="Times New Roman" w:cs="Times New Roman"/>
          <w:color w:val="000000"/>
          <w:sz w:val="20"/>
          <w:szCs w:val="20"/>
        </w:rPr>
        <w:t>, 2020)</w:t>
      </w:r>
    </w:p>
  </w:footnote>
  <w:footnote w:id="19">
    <w:p w14:paraId="000008DE"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WASH is an acronym for “water, sanitation and hygiene”</w:t>
      </w:r>
    </w:p>
  </w:footnote>
  <w:footnote w:id="20">
    <w:p w14:paraId="000008DF"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Safe management of waste from health-care activities, second edition 2018: </w:t>
      </w:r>
      <w:hyperlink r:id="rId17">
        <w:r>
          <w:rPr>
            <w:color w:val="0000FF"/>
            <w:sz w:val="20"/>
            <w:szCs w:val="20"/>
            <w:u w:val="single"/>
          </w:rPr>
          <w:t>https://apps.who.int/iris/bitstream/handle/10665/85349/9789241548564_eng.pdf?sequence=1</w:t>
        </w:r>
      </w:hyperlink>
    </w:p>
  </w:footnote>
  <w:footnote w:id="21">
    <w:sdt>
      <w:sdtPr>
        <w:tag w:val="goog_rdk_455"/>
        <w:id w:val="-1693368290"/>
      </w:sdtPr>
      <w:sdtContent>
        <w:p w14:paraId="000008E0" w14:textId="77777777" w:rsidR="00EC15FD" w:rsidRDefault="00EC15FD">
          <w:pPr>
            <w:pBdr>
              <w:top w:val="nil"/>
              <w:left w:val="nil"/>
              <w:bottom w:val="nil"/>
              <w:right w:val="nil"/>
              <w:between w:val="nil"/>
            </w:pBdr>
            <w:spacing w:after="0" w:line="240" w:lineRule="auto"/>
            <w:rPr>
              <w:ins w:id="477" w:author="Author" w:date="2020-07-15T05:14:00Z"/>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 xml:space="preserve">Infection prevention and control guidelines: </w:t>
          </w:r>
          <w:hyperlink r:id="rId18">
            <w:r>
              <w:rPr>
                <w:color w:val="0000FF"/>
                <w:sz w:val="20"/>
                <w:szCs w:val="20"/>
                <w:u w:val="single"/>
              </w:rPr>
              <w:t>https://www.who.int/infection-prevention/publications/en/</w:t>
            </w:r>
          </w:hyperlink>
          <w:sdt>
            <w:sdtPr>
              <w:tag w:val="goog_rdk_454"/>
              <w:id w:val="446202789"/>
            </w:sdtPr>
            <w:sdtContent/>
          </w:sdt>
        </w:p>
      </w:sdtContent>
    </w:sdt>
    <w:p w14:paraId="000008E1" w14:textId="77777777" w:rsidR="00EC15FD" w:rsidRDefault="00EC15FD">
      <w:pPr>
        <w:widowControl w:val="0"/>
        <w:pBdr>
          <w:top w:val="nil"/>
          <w:left w:val="nil"/>
          <w:bottom w:val="nil"/>
          <w:right w:val="nil"/>
          <w:between w:val="nil"/>
        </w:pBdr>
        <w:spacing w:after="0"/>
        <w:rPr>
          <w:color w:val="000000"/>
          <w:sz w:val="20"/>
          <w:szCs w:val="20"/>
        </w:rPr>
      </w:pPr>
    </w:p>
  </w:footnote>
  <w:footnote w:id="22">
    <w:p w14:paraId="000008E2" w14:textId="77777777" w:rsidR="00EC15FD" w:rsidRDefault="00EC15FD">
      <w:pPr>
        <w:pStyle w:val="Heading4"/>
        <w:shd w:val="clear" w:color="auto" w:fill="FFFFFF"/>
        <w:spacing w:before="0" w:after="90"/>
        <w:ind w:right="300"/>
        <w:rPr>
          <w:rFonts w:ascii="Times New Roman" w:eastAsia="Times New Roman" w:hAnsi="Times New Roman" w:cs="Times New Roman"/>
          <w:color w:val="333333"/>
          <w:sz w:val="18"/>
          <w:szCs w:val="18"/>
        </w:rPr>
      </w:pPr>
      <w:r>
        <w:rPr>
          <w:rStyle w:val="FootnoteReference"/>
        </w:rPr>
        <w:footnoteRef/>
      </w:r>
      <w:r>
        <w:t xml:space="preserve"> </w:t>
      </w:r>
      <w:r>
        <w:rPr>
          <w:rFonts w:ascii="Times New Roman" w:eastAsia="Times New Roman" w:hAnsi="Times New Roman" w:cs="Times New Roman"/>
          <w:i w:val="0"/>
          <w:sz w:val="18"/>
          <w:szCs w:val="18"/>
        </w:rPr>
        <w:t xml:space="preserve">WHO </w:t>
      </w:r>
      <w:r>
        <w:rPr>
          <w:rFonts w:ascii="Times New Roman" w:eastAsia="Times New Roman" w:hAnsi="Times New Roman" w:cs="Times New Roman"/>
          <w:i w:val="0"/>
          <w:color w:val="333333"/>
          <w:sz w:val="18"/>
          <w:szCs w:val="18"/>
        </w:rPr>
        <w:t xml:space="preserve">standards related to Personal protective equipment: </w:t>
      </w:r>
      <w:hyperlink r:id="rId19">
        <w:r>
          <w:rPr>
            <w:rFonts w:ascii="Times New Roman" w:eastAsia="Times New Roman" w:hAnsi="Times New Roman" w:cs="Times New Roman"/>
            <w:i w:val="0"/>
            <w:color w:val="0000FF"/>
            <w:sz w:val="18"/>
            <w:szCs w:val="18"/>
            <w:u w:val="single"/>
          </w:rPr>
          <w:t>https://www.who.int/medical_devices/priority/COVID_19_PPE/en/</w:t>
        </w:r>
      </w:hyperlink>
    </w:p>
  </w:footnote>
  <w:footnote w:id="23">
    <w:p w14:paraId="000008E3"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WHO Recommendations about rational use of PPE: </w:t>
      </w:r>
      <w:hyperlink r:id="rId20">
        <w:r>
          <w:rPr>
            <w:rFonts w:ascii="Times New Roman" w:eastAsia="Times New Roman" w:hAnsi="Times New Roman" w:cs="Times New Roman"/>
            <w:color w:val="0000FF"/>
            <w:sz w:val="18"/>
            <w:szCs w:val="18"/>
            <w:u w:val="single"/>
          </w:rPr>
          <w:t>https://www.who.int/publications/i/item/rational-use-of-personal-protective-equipment-for-coronavirus-disease-(covid-19)-and-considerations-during-severe-shortages</w:t>
        </w:r>
      </w:hyperlink>
    </w:p>
  </w:footnote>
  <w:footnote w:id="24">
    <w:p w14:paraId="000008E4"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Climate change and challenges in Georgia 2019: </w:t>
      </w:r>
      <w:hyperlink r:id="rId21">
        <w:r>
          <w:rPr>
            <w:color w:val="0000FF"/>
            <w:sz w:val="20"/>
            <w:szCs w:val="20"/>
            <w:u w:val="single"/>
          </w:rPr>
          <w:t>http://www.eiec.gov.ge/NavMenu/Library.aspx</w:t>
        </w:r>
      </w:hyperlink>
    </w:p>
  </w:footnote>
  <w:footnote w:id="25">
    <w:sdt>
      <w:sdtPr>
        <w:tag w:val="goog_rdk_457"/>
        <w:id w:val="-1341084796"/>
      </w:sdtPr>
      <w:sdtContent>
        <w:p w14:paraId="000008E5" w14:textId="77777777" w:rsidR="00EC15FD" w:rsidRDefault="00EC15FD">
          <w:pPr>
            <w:pBdr>
              <w:top w:val="nil"/>
              <w:left w:val="nil"/>
              <w:bottom w:val="nil"/>
              <w:right w:val="nil"/>
              <w:between w:val="nil"/>
            </w:pBdr>
            <w:spacing w:after="0" w:line="240" w:lineRule="auto"/>
            <w:rPr>
              <w:ins w:id="554" w:author="Author" w:date="2020-07-15T05:14:00Z"/>
              <w:color w:val="000000"/>
              <w:sz w:val="20"/>
              <w:szCs w:val="20"/>
            </w:rPr>
          </w:pPr>
          <w:r>
            <w:rPr>
              <w:rStyle w:val="FootnoteReference"/>
            </w:rPr>
            <w:footnoteRef/>
          </w:r>
          <w:r>
            <w:rPr>
              <w:color w:val="000000"/>
              <w:sz w:val="20"/>
              <w:szCs w:val="20"/>
            </w:rPr>
            <w:t xml:space="preserve"> National Report on the State of the Environment of Georgia: </w:t>
          </w:r>
          <w:hyperlink r:id="rId22">
            <w:r>
              <w:rPr>
                <w:color w:val="0000FF"/>
                <w:sz w:val="20"/>
                <w:szCs w:val="20"/>
                <w:u w:val="single"/>
              </w:rPr>
              <w:t>http://eiec.gov.ge/getattachment/NavMenu/Documents/National-Reports/2007-2009-National-Report-of-the-State-of-the-Environment-of-Georgia.pdf.aspx</w:t>
            </w:r>
          </w:hyperlink>
          <w:sdt>
            <w:sdtPr>
              <w:tag w:val="goog_rdk_456"/>
              <w:id w:val="566074105"/>
            </w:sdtPr>
            <w:sdtContent/>
          </w:sdt>
        </w:p>
      </w:sdtContent>
    </w:sdt>
    <w:p w14:paraId="000008E6" w14:textId="77777777" w:rsidR="00EC15FD" w:rsidRDefault="00EC15FD">
      <w:pPr>
        <w:widowControl w:val="0"/>
        <w:pBdr>
          <w:top w:val="nil"/>
          <w:left w:val="nil"/>
          <w:bottom w:val="nil"/>
          <w:right w:val="nil"/>
          <w:between w:val="nil"/>
        </w:pBdr>
        <w:spacing w:after="0"/>
        <w:rPr>
          <w:color w:val="000000"/>
          <w:sz w:val="20"/>
          <w:szCs w:val="20"/>
        </w:rPr>
      </w:pPr>
    </w:p>
  </w:footnote>
  <w:footnote w:id="26">
    <w:p w14:paraId="000008E7"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sdt>
        <w:sdtPr>
          <w:tag w:val="goog_rdk_459"/>
          <w:id w:val="1540555863"/>
        </w:sdtPr>
        <w:sdtContent>
          <w:del w:id="555" w:author="Giorgi Kobaladze" w:date="2020-07-17T06:47:00Z">
            <w:r>
              <w:rPr>
                <w:color w:val="000000"/>
                <w:sz w:val="20"/>
                <w:szCs w:val="20"/>
              </w:rPr>
              <w:delText xml:space="preserve"> </w:delText>
            </w:r>
          </w:del>
        </w:sdtContent>
      </w:sdt>
      <w:hyperlink r:id="rId23">
        <w:r>
          <w:rPr>
            <w:color w:val="0000FF"/>
            <w:sz w:val="20"/>
            <w:szCs w:val="20"/>
            <w:u w:val="single"/>
          </w:rPr>
          <w:t>https://www.avkvalves.com/en/cases/sustainability-cases-placeholder/efficient-water-supply-management-in-georgia</w:t>
        </w:r>
      </w:hyperlink>
    </w:p>
  </w:footnote>
  <w:footnote w:id="27">
    <w:sdt>
      <w:sdtPr>
        <w:tag w:val="goog_rdk_497"/>
        <w:id w:val="1007642088"/>
      </w:sdtPr>
      <w:sdtContent>
        <w:p w14:paraId="00000912" w14:textId="77777777" w:rsidR="00EC15FD" w:rsidRPr="009F1887" w:rsidRDefault="00EC15FD">
          <w:pPr>
            <w:spacing w:after="0" w:line="240" w:lineRule="auto"/>
            <w:rPr>
              <w:ins w:id="559" w:author="Giorgi Kobaladze" w:date="2020-07-17T06:46:00Z"/>
              <w:sz w:val="20"/>
              <w:szCs w:val="20"/>
              <w:highlight w:val="white"/>
              <w:rPrChange w:id="560" w:author="Giorgi Kobaladze" w:date="2020-07-17T06:14:00Z">
                <w:rPr>
                  <w:ins w:id="561" w:author="Giorgi Kobaladze" w:date="2020-07-17T06:46:00Z"/>
                  <w:rFonts w:ascii="Times New Roman" w:eastAsia="Times New Roman" w:hAnsi="Times New Roman" w:cs="Times New Roman"/>
                  <w:color w:val="000000"/>
                </w:rPr>
              </w:rPrChange>
            </w:rPr>
          </w:pPr>
          <w:r>
            <w:rPr>
              <w:rStyle w:val="FootnoteReference"/>
            </w:rPr>
            <w:footnoteRef/>
          </w:r>
          <w:sdt>
            <w:sdtPr>
              <w:tag w:val="goog_rdk_491"/>
              <w:id w:val="2083244660"/>
            </w:sdtPr>
            <w:sdtContent>
              <w:sdt>
                <w:sdtPr>
                  <w:tag w:val="goog_rdk_492"/>
                  <w:id w:val="539861068"/>
                </w:sdtPr>
                <w:sdtContent>
                  <w:ins w:id="562" w:author="Giorgi Kobaladze" w:date="2020-07-17T06:46:00Z">
                    <w:r>
                      <w:rPr>
                        <w:sz w:val="20"/>
                        <w:szCs w:val="20"/>
                        <w:highlight w:val="white"/>
                        <w:rPrChange w:id="563" w:author="Giorgi Kobaladze" w:date="2020-07-17T06:14:00Z">
                          <w:rPr>
                            <w:rFonts w:ascii="Times New Roman" w:eastAsia="Times New Roman" w:hAnsi="Times New Roman" w:cs="Times New Roman"/>
                            <w:color w:val="000000"/>
                          </w:rPr>
                        </w:rPrChange>
                      </w:rPr>
                      <w:t xml:space="preserve"> </w:t>
                    </w:r>
                  </w:ins>
                </w:sdtContent>
              </w:sdt>
              <w:customXmlInsRangeStart w:id="564" w:author="Giorgi Kobaladze" w:date="2020-07-17T06:46:00Z"/>
              <w:sdt>
                <w:sdtPr>
                  <w:tag w:val="goog_rdk_493"/>
                  <w:id w:val="-591087334"/>
                </w:sdtPr>
                <w:sdtContent>
                  <w:customXmlInsRangeEnd w:id="564"/>
                  <w:ins w:id="565" w:author="Giorgi Kobaladze" w:date="2020-07-17T06:46:00Z">
                    <w:r>
                      <w:rPr>
                        <w:sz w:val="20"/>
                        <w:szCs w:val="20"/>
                        <w:highlight w:val="white"/>
                        <w:rPrChange w:id="566" w:author="Giorgi Kobaladze" w:date="2020-07-17T06:14:00Z">
                          <w:rPr>
                            <w:rFonts w:ascii="Times New Roman" w:eastAsia="Times New Roman" w:hAnsi="Times New Roman" w:cs="Times New Roman"/>
                            <w:color w:val="000000"/>
                          </w:rPr>
                        </w:rPrChange>
                      </w:rPr>
                      <w:t>Technical regulation on drinking water:</w:t>
                    </w:r>
                  </w:ins>
                  <w:customXmlInsRangeStart w:id="567" w:author="Giorgi Kobaladze" w:date="2020-07-17T06:46:00Z"/>
                </w:sdtContent>
              </w:sdt>
              <w:customXmlInsRangeEnd w:id="567"/>
              <w:ins w:id="568" w:author="Giorgi Kobaladze" w:date="2020-07-17T06:46:00Z">
                <w:r>
                  <w:fldChar w:fldCharType="begin"/>
                </w:r>
                <w:r>
                  <w:instrText>HYPERLINK "https://matsne.gov.ge/ka/document/view/2196792?publication=0"</w:instrText>
                </w:r>
                <w:r>
                  <w:fldChar w:fldCharType="separate"/>
                </w:r>
              </w:ins>
              <w:customXmlInsRangeStart w:id="569" w:author="Giorgi Kobaladze" w:date="2020-07-17T06:46:00Z"/>
              <w:sdt>
                <w:sdtPr>
                  <w:tag w:val="goog_rdk_494"/>
                  <w:id w:val="-1892490655"/>
                </w:sdtPr>
                <w:sdtContent>
                  <w:customXmlInsRangeEnd w:id="569"/>
                  <w:ins w:id="570" w:author="Giorgi Kobaladze" w:date="2020-07-17T06:46:00Z">
                    <w:r>
                      <w:rPr>
                        <w:sz w:val="20"/>
                        <w:szCs w:val="20"/>
                        <w:highlight w:val="white"/>
                        <w:rPrChange w:id="571" w:author="Giorgi Kobaladze" w:date="2020-07-17T06:14:00Z">
                          <w:rPr>
                            <w:rFonts w:ascii="Times New Roman" w:eastAsia="Times New Roman" w:hAnsi="Times New Roman" w:cs="Times New Roman"/>
                            <w:color w:val="000000"/>
                          </w:rPr>
                        </w:rPrChange>
                      </w:rPr>
                      <w:t xml:space="preserve"> </w:t>
                    </w:r>
                  </w:ins>
                  <w:customXmlInsRangeStart w:id="572" w:author="Giorgi Kobaladze" w:date="2020-07-17T06:46:00Z"/>
                </w:sdtContent>
              </w:sdt>
              <w:customXmlInsRangeEnd w:id="572"/>
              <w:ins w:id="573" w:author="Giorgi Kobaladze" w:date="2020-07-17T06:46:00Z">
                <w:r>
                  <w:fldChar w:fldCharType="end"/>
                </w:r>
                <w:r>
                  <w:fldChar w:fldCharType="begin"/>
                </w:r>
                <w:r>
                  <w:instrText>HYPERLINK "https://matsne.gov.ge/ka/document/view/2196792?publication=0"</w:instrText>
                </w:r>
                <w:r>
                  <w:fldChar w:fldCharType="separate"/>
                </w:r>
              </w:ins>
              <w:customXmlInsRangeStart w:id="574" w:author="Giorgi Kobaladze" w:date="2020-07-17T06:46:00Z"/>
              <w:sdt>
                <w:sdtPr>
                  <w:tag w:val="goog_rdk_495"/>
                  <w:id w:val="29233838"/>
                </w:sdtPr>
                <w:sdtContent>
                  <w:customXmlInsRangeEnd w:id="574"/>
                  <w:ins w:id="575" w:author="Giorgi Kobaladze" w:date="2020-07-17T06:46:00Z">
                    <w:r>
                      <w:rPr>
                        <w:sz w:val="20"/>
                        <w:szCs w:val="20"/>
                        <w:highlight w:val="white"/>
                        <w:rPrChange w:id="576" w:author="Giorgi Kobaladze" w:date="2020-07-17T06:14:00Z">
                          <w:rPr>
                            <w:rFonts w:ascii="Times New Roman" w:eastAsia="Times New Roman" w:hAnsi="Times New Roman" w:cs="Times New Roman"/>
                            <w:color w:val="000000"/>
                          </w:rPr>
                        </w:rPrChange>
                      </w:rPr>
                      <w:t>https://matsne.gov.ge/ka/document/view/2196792?publication=0</w:t>
                    </w:r>
                  </w:ins>
                  <w:customXmlInsRangeStart w:id="577" w:author="Giorgi Kobaladze" w:date="2020-07-17T06:46:00Z"/>
                </w:sdtContent>
              </w:sdt>
              <w:customXmlInsRangeEnd w:id="577"/>
              <w:ins w:id="578" w:author="Giorgi Kobaladze" w:date="2020-07-17T06:46:00Z">
                <w:r>
                  <w:fldChar w:fldCharType="end"/>
                </w:r>
              </w:ins>
              <w:customXmlInsRangeStart w:id="579" w:author="Giorgi Kobaladze" w:date="2020-07-17T06:46:00Z"/>
              <w:sdt>
                <w:sdtPr>
                  <w:tag w:val="goog_rdk_496"/>
                  <w:id w:val="-452555054"/>
                </w:sdtPr>
                <w:sdtContent>
                  <w:customXmlInsRangeEnd w:id="579"/>
                  <w:customXmlInsRangeStart w:id="580" w:author="Giorgi Kobaladze" w:date="2020-07-17T06:46:00Z"/>
                </w:sdtContent>
              </w:sdt>
              <w:customXmlInsRangeEnd w:id="580"/>
            </w:sdtContent>
          </w:sdt>
        </w:p>
      </w:sdtContent>
    </w:sdt>
  </w:footnote>
  <w:footnote w:id="28">
    <w:sdt>
      <w:sdtPr>
        <w:tag w:val="goog_rdk_461"/>
        <w:id w:val="1299192381"/>
      </w:sdtPr>
      <w:sdtContent>
        <w:p w14:paraId="000008E8" w14:textId="77777777" w:rsidR="00EC15FD" w:rsidRDefault="00EC15FD">
          <w:pPr>
            <w:pBdr>
              <w:top w:val="nil"/>
              <w:left w:val="nil"/>
              <w:bottom w:val="nil"/>
              <w:right w:val="nil"/>
              <w:between w:val="nil"/>
            </w:pBdr>
            <w:spacing w:after="0" w:line="240" w:lineRule="auto"/>
            <w:rPr>
              <w:ins w:id="585" w:author="Author" w:date="2020-07-15T05:14:00Z"/>
              <w:color w:val="000000"/>
              <w:sz w:val="20"/>
              <w:szCs w:val="20"/>
            </w:rPr>
          </w:pPr>
          <w:r>
            <w:rPr>
              <w:rStyle w:val="FootnoteReference"/>
            </w:rPr>
            <w:footnoteRef/>
          </w:r>
          <w:r>
            <w:rPr>
              <w:color w:val="000000"/>
              <w:sz w:val="20"/>
              <w:szCs w:val="20"/>
            </w:rPr>
            <w:t xml:space="preserve"> Financing Strategy for the Urban Water Supply and Sanitation Sector in Georgia: </w:t>
          </w:r>
          <w:hyperlink r:id="rId24">
            <w:r>
              <w:rPr>
                <w:color w:val="0000FF"/>
                <w:sz w:val="20"/>
                <w:szCs w:val="20"/>
                <w:u w:val="single"/>
              </w:rPr>
              <w:t>https://www.oecd.org/countries/georgia/36472918.pdf</w:t>
            </w:r>
          </w:hyperlink>
          <w:sdt>
            <w:sdtPr>
              <w:tag w:val="goog_rdk_460"/>
              <w:id w:val="-803162639"/>
            </w:sdtPr>
            <w:sdtContent/>
          </w:sdt>
        </w:p>
      </w:sdtContent>
    </w:sdt>
    <w:p w14:paraId="000008E9" w14:textId="77777777" w:rsidR="00EC15FD" w:rsidRDefault="00EC15FD">
      <w:pPr>
        <w:widowControl w:val="0"/>
        <w:pBdr>
          <w:top w:val="nil"/>
          <w:left w:val="nil"/>
          <w:bottom w:val="nil"/>
          <w:right w:val="nil"/>
          <w:between w:val="nil"/>
        </w:pBdr>
        <w:spacing w:after="0"/>
        <w:rPr>
          <w:color w:val="000000"/>
          <w:sz w:val="20"/>
          <w:szCs w:val="20"/>
        </w:rPr>
      </w:pPr>
    </w:p>
  </w:footnote>
  <w:footnote w:id="29">
    <w:p w14:paraId="000008EA"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LTD Solid Waste Management Company of Georgia: </w:t>
      </w:r>
      <w:hyperlink r:id="rId25">
        <w:r>
          <w:rPr>
            <w:color w:val="0000FF"/>
            <w:sz w:val="20"/>
            <w:szCs w:val="20"/>
            <w:u w:val="single"/>
          </w:rPr>
          <w:t>http://waste.gov.ge/ka/?page_id=1883&amp;lang=en</w:t>
        </w:r>
      </w:hyperlink>
    </w:p>
  </w:footnote>
  <w:footnote w:id="30">
    <w:p w14:paraId="000008EB"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 landfill directive 1999/31/EC: </w:t>
      </w:r>
      <w:hyperlink r:id="rId26">
        <w:r>
          <w:rPr>
            <w:color w:val="0000FF"/>
            <w:sz w:val="20"/>
            <w:szCs w:val="20"/>
            <w:u w:val="single"/>
          </w:rPr>
          <w:t>https://eur-lex.europa.eu/legal-content/EN/ALL/?uri=CELEX:31999L0031</w:t>
        </w:r>
      </w:hyperlink>
    </w:p>
  </w:footnote>
  <w:footnote w:id="31">
    <w:sdt>
      <w:sdtPr>
        <w:tag w:val="goog_rdk_463"/>
        <w:id w:val="-393580468"/>
      </w:sdtPr>
      <w:sdtContent>
        <w:p w14:paraId="000008EC" w14:textId="77777777" w:rsidR="00EC15FD" w:rsidRDefault="00EC15FD">
          <w:pPr>
            <w:pBdr>
              <w:top w:val="nil"/>
              <w:left w:val="nil"/>
              <w:bottom w:val="nil"/>
              <w:right w:val="nil"/>
              <w:between w:val="nil"/>
            </w:pBdr>
            <w:shd w:val="clear" w:color="auto" w:fill="FFFFFF"/>
            <w:spacing w:after="390" w:line="240" w:lineRule="auto"/>
            <w:rPr>
              <w:ins w:id="586" w:author="Author" w:date="2020-07-15T05:14:00Z"/>
              <w:color w:val="222222"/>
              <w:sz w:val="20"/>
              <w:szCs w:val="20"/>
            </w:rPr>
          </w:pPr>
          <w:r>
            <w:rPr>
              <w:rStyle w:val="FootnoteReference"/>
            </w:rPr>
            <w:footnoteRef/>
          </w:r>
          <w:r>
            <w:rPr>
              <w:color w:val="000000"/>
              <w:sz w:val="20"/>
              <w:szCs w:val="20"/>
            </w:rPr>
            <w:t xml:space="preserve"> National </w:t>
          </w:r>
          <w:r>
            <w:rPr>
              <w:color w:val="222222"/>
              <w:sz w:val="20"/>
              <w:szCs w:val="20"/>
            </w:rPr>
            <w:t xml:space="preserve">waste management strategy 2016-2030 of Georgia </w:t>
          </w:r>
          <w:hyperlink r:id="rId27">
            <w:r>
              <w:rPr>
                <w:color w:val="0000FF"/>
                <w:sz w:val="20"/>
                <w:szCs w:val="20"/>
                <w:u w:val="single"/>
              </w:rPr>
              <w:t>https://matsne.gov.ge/ka/document/view/3242506?publication=0</w:t>
            </w:r>
          </w:hyperlink>
          <w:sdt>
            <w:sdtPr>
              <w:tag w:val="goog_rdk_462"/>
              <w:id w:val="-783118041"/>
            </w:sdtPr>
            <w:sdtContent/>
          </w:sdt>
        </w:p>
      </w:sdtContent>
    </w:sdt>
    <w:p w14:paraId="000008ED" w14:textId="77777777" w:rsidR="00EC15FD" w:rsidRDefault="00EC15FD">
      <w:pPr>
        <w:widowControl w:val="0"/>
        <w:pBdr>
          <w:top w:val="nil"/>
          <w:left w:val="nil"/>
          <w:bottom w:val="nil"/>
          <w:right w:val="nil"/>
          <w:between w:val="nil"/>
        </w:pBdr>
        <w:spacing w:after="0"/>
        <w:rPr>
          <w:color w:val="222222"/>
          <w:sz w:val="20"/>
          <w:szCs w:val="20"/>
        </w:rPr>
      </w:pPr>
    </w:p>
  </w:footnote>
  <w:footnote w:id="32">
    <w:p w14:paraId="000008EE"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 directive 2000/76/EC on </w:t>
      </w:r>
      <w:sdt>
        <w:sdtPr>
          <w:tag w:val="goog_rdk_464"/>
          <w:id w:val="1786149516"/>
        </w:sdtPr>
        <w:sdtContent>
          <w:del w:id="592" w:author="Giorgi Kobaladze" w:date="2020-07-17T06:49:00Z">
            <w:r>
              <w:rPr>
                <w:sz w:val="20"/>
                <w:szCs w:val="20"/>
                <w:highlight w:val="yellow"/>
              </w:rPr>
              <w:delText xml:space="preserve">of the European Parliament and of the Council of 4 December 2000 </w:delText>
            </w:r>
          </w:del>
        </w:sdtContent>
      </w:sdt>
      <w:r>
        <w:rPr>
          <w:sz w:val="20"/>
          <w:szCs w:val="20"/>
          <w:highlight w:val="yellow"/>
        </w:rPr>
        <w:t xml:space="preserve">on </w:t>
      </w:r>
      <w:sdt>
        <w:sdtPr>
          <w:tag w:val="goog_rdk_465"/>
          <w:id w:val="-1389870361"/>
        </w:sdtPr>
        <w:sdtContent>
          <w:del w:id="593" w:author="Giorgi Kobaladze" w:date="2020-07-17T06:49:00Z">
            <w:r>
              <w:rPr>
                <w:sz w:val="20"/>
                <w:szCs w:val="20"/>
                <w:highlight w:val="yellow"/>
              </w:rPr>
              <w:delText xml:space="preserve">the </w:delText>
            </w:r>
          </w:del>
        </w:sdtContent>
      </w:sdt>
      <w:r>
        <w:rPr>
          <w:sz w:val="20"/>
          <w:szCs w:val="20"/>
          <w:highlight w:val="yellow"/>
        </w:rPr>
        <w:t>incineration of waste</w:t>
      </w:r>
      <w:r>
        <w:rPr>
          <w:color w:val="000000"/>
          <w:sz w:val="20"/>
          <w:szCs w:val="20"/>
        </w:rPr>
        <w:t xml:space="preserve"> </w:t>
      </w:r>
      <w:hyperlink r:id="rId28">
        <w:r>
          <w:rPr>
            <w:color w:val="0000FF"/>
            <w:sz w:val="20"/>
            <w:szCs w:val="20"/>
            <w:u w:val="single"/>
          </w:rPr>
          <w:t>https://eur-lex.europa.eu/legal-content/EN/TXT/?uri=CELEX%3A32000L0076</w:t>
        </w:r>
      </w:hyperlink>
    </w:p>
  </w:footnote>
  <w:footnote w:id="33">
    <w:p w14:paraId="000008EF"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 xml:space="preserve">National Statistics Office of Georgia, 2020 Population data, available online at </w:t>
      </w:r>
      <w:hyperlink r:id="rId29">
        <w:r>
          <w:rPr>
            <w:rFonts w:ascii="Times New Roman" w:eastAsia="Times New Roman" w:hAnsi="Times New Roman" w:cs="Times New Roman"/>
            <w:color w:val="0000FF"/>
            <w:sz w:val="20"/>
            <w:szCs w:val="20"/>
            <w:u w:val="single"/>
          </w:rPr>
          <w:t>https://www.geostat.ge/en/modules/categories/41/population</w:t>
        </w:r>
      </w:hyperlink>
      <w:r>
        <w:rPr>
          <w:rFonts w:ascii="Times New Roman" w:eastAsia="Times New Roman" w:hAnsi="Times New Roman" w:cs="Times New Roman"/>
          <w:color w:val="000000"/>
          <w:sz w:val="20"/>
          <w:szCs w:val="20"/>
        </w:rPr>
        <w:t xml:space="preserve"> (accessed on May 19, 2020)</w:t>
      </w:r>
    </w:p>
  </w:footnote>
  <w:footnote w:id="34">
    <w:p w14:paraId="000008F0"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World Bank. Georgia Overview. Available at </w:t>
      </w:r>
      <w:hyperlink r:id="rId30">
        <w:r>
          <w:rPr>
            <w:color w:val="0000FF"/>
            <w:sz w:val="20"/>
            <w:szCs w:val="20"/>
            <w:u w:val="single"/>
          </w:rPr>
          <w:t>https://www.worldbank.org/en/country/georgia/overview</w:t>
        </w:r>
      </w:hyperlink>
      <w:r>
        <w:rPr>
          <w:color w:val="000000"/>
          <w:sz w:val="20"/>
          <w:szCs w:val="20"/>
        </w:rPr>
        <w:t xml:space="preserve"> (accessed on May 19, 2020)</w:t>
      </w:r>
    </w:p>
  </w:footnote>
  <w:footnote w:id="35">
    <w:p w14:paraId="000008F1"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National Statistics Office of Georgia, 2020 National accounts data, available online at </w:t>
      </w:r>
      <w:hyperlink r:id="rId31">
        <w:r>
          <w:rPr>
            <w:color w:val="0000FF"/>
            <w:sz w:val="20"/>
            <w:szCs w:val="20"/>
            <w:u w:val="single"/>
          </w:rPr>
          <w:t>https://www.geostat.ge/en/modules/categories/22/national-accounts</w:t>
        </w:r>
      </w:hyperlink>
      <w:r>
        <w:rPr>
          <w:color w:val="000000"/>
          <w:sz w:val="20"/>
          <w:szCs w:val="20"/>
        </w:rPr>
        <w:t xml:space="preserve"> (accessed on May 19, 2020)</w:t>
      </w:r>
    </w:p>
  </w:footnote>
  <w:footnote w:id="36">
    <w:p w14:paraId="000008F2"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2">
        <w:r>
          <w:rPr>
            <w:color w:val="0000FF"/>
            <w:sz w:val="20"/>
            <w:szCs w:val="20"/>
            <w:u w:val="single"/>
          </w:rPr>
          <w:t>http://www.parliament.ge/ge/ajax/downloadFile/81366/Health_Strategy_Eng</w:t>
        </w:r>
      </w:hyperlink>
    </w:p>
  </w:footnote>
  <w:footnote w:id="37">
    <w:sdt>
      <w:sdtPr>
        <w:tag w:val="goog_rdk_469"/>
        <w:id w:val="-51692921"/>
      </w:sdtPr>
      <w:sdtContent>
        <w:p w14:paraId="000008F3" w14:textId="77777777" w:rsidR="00EC15FD" w:rsidRDefault="00EC15FD">
          <w:pPr>
            <w:pBdr>
              <w:top w:val="nil"/>
              <w:left w:val="nil"/>
              <w:bottom w:val="nil"/>
              <w:right w:val="nil"/>
              <w:between w:val="nil"/>
            </w:pBdr>
            <w:spacing w:after="0" w:line="240" w:lineRule="auto"/>
            <w:rPr>
              <w:ins w:id="599" w:author="Author" w:date="2020-07-15T05:14:00Z"/>
              <w:rFonts w:ascii="Times New Roman" w:eastAsia="Times New Roman" w:hAnsi="Times New Roman" w:cs="Times New Roman"/>
              <w:color w:val="000000"/>
              <w:sz w:val="20"/>
              <w:szCs w:val="20"/>
            </w:rPr>
          </w:pPr>
          <w:r>
            <w:rPr>
              <w:rStyle w:val="FootnoteReference"/>
            </w:rPr>
            <w:footnoteRef/>
          </w:r>
          <w:sdt>
            <w:sdtPr>
              <w:tag w:val="goog_rdk_467"/>
              <w:id w:val="-434601225"/>
            </w:sdtPr>
            <w:sdtContent>
              <w:ins w:id="600" w:author="Author" w:date="2020-07-15T05:14:00Z">
                <w:r>
                  <w:rPr>
                    <w:rFonts w:ascii="Times New Roman" w:eastAsia="Times New Roman" w:hAnsi="Times New Roman" w:cs="Times New Roman"/>
                    <w:color w:val="000000"/>
                    <w:sz w:val="20"/>
                    <w:szCs w:val="20"/>
                  </w:rPr>
                  <w:t xml:space="preserve"> </w:t>
                </w:r>
              </w:ins>
            </w:sdtContent>
          </w:sdt>
          <w:hyperlink r:id="rId33">
            <w:r>
              <w:rPr>
                <w:rFonts w:ascii="Times New Roman" w:eastAsia="Times New Roman" w:hAnsi="Times New Roman" w:cs="Times New Roman"/>
                <w:color w:val="0000FF"/>
                <w:sz w:val="18"/>
                <w:szCs w:val="18"/>
                <w:u w:val="single"/>
              </w:rPr>
              <w:t>https://openknowledge.worldbank.org/handle/10986/29108</w:t>
            </w:r>
          </w:hyperlink>
          <w:r>
            <w:rPr>
              <w:rFonts w:ascii="Times New Roman" w:eastAsia="Times New Roman" w:hAnsi="Times New Roman" w:cs="Times New Roman"/>
              <w:color w:val="000000"/>
              <w:sz w:val="20"/>
              <w:szCs w:val="20"/>
            </w:rPr>
            <w:t xml:space="preserve"> </w:t>
          </w:r>
          <w:sdt>
            <w:sdtPr>
              <w:tag w:val="goog_rdk_468"/>
              <w:id w:val="-1900892329"/>
            </w:sdtPr>
            <w:sdtContent/>
          </w:sdt>
        </w:p>
      </w:sdtContent>
    </w:sdt>
    <w:p w14:paraId="000008F4" w14:textId="77777777" w:rsidR="00EC15FD" w:rsidRDefault="00EC15FD">
      <w:pPr>
        <w:pBdr>
          <w:top w:val="nil"/>
          <w:left w:val="nil"/>
          <w:bottom w:val="nil"/>
          <w:right w:val="nil"/>
          <w:between w:val="nil"/>
        </w:pBdr>
        <w:spacing w:after="0" w:line="240" w:lineRule="auto"/>
        <w:rPr>
          <w:color w:val="000000"/>
          <w:sz w:val="20"/>
          <w:szCs w:val="20"/>
        </w:rPr>
      </w:pPr>
    </w:p>
  </w:footnote>
  <w:footnote w:id="38">
    <w:p w14:paraId="000008F5"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highlight w:val="yellow"/>
        </w:rPr>
        <w:t xml:space="preserve"> </w:t>
      </w:r>
      <w:r>
        <w:rPr>
          <w:rFonts w:ascii="Times New Roman" w:eastAsia="Times New Roman" w:hAnsi="Times New Roman" w:cs="Times New Roman"/>
          <w:color w:val="000000"/>
          <w:sz w:val="18"/>
          <w:szCs w:val="18"/>
          <w:highlight w:val="yellow"/>
        </w:rPr>
        <w:t>Link to be provided once available.</w:t>
      </w:r>
    </w:p>
  </w:footnote>
  <w:footnote w:id="39">
    <w:p w14:paraId="000008F6"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yellow"/>
        </w:rPr>
      </w:pPr>
      <w:r>
        <w:rPr>
          <w:rStyle w:val="FootnoteReference"/>
        </w:rPr>
        <w:footnoteRef/>
      </w:r>
      <w:r>
        <w:rPr>
          <w:rFonts w:ascii="Times New Roman" w:eastAsia="Times New Roman" w:hAnsi="Times New Roman" w:cs="Times New Roman"/>
          <w:color w:val="000000"/>
          <w:sz w:val="16"/>
          <w:szCs w:val="16"/>
          <w:highlight w:val="yellow"/>
        </w:rPr>
        <w:t xml:space="preserve"> Link to be provided once available.</w:t>
      </w:r>
    </w:p>
  </w:footnote>
  <w:footnote w:id="40">
    <w:p w14:paraId="000008F7" w14:textId="77777777" w:rsidR="00EC15FD" w:rsidRDefault="00EC15F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highlight w:val="yellow"/>
        </w:rPr>
        <w:t xml:space="preserve"> </w:t>
      </w:r>
      <w:r>
        <w:rPr>
          <w:rFonts w:ascii="Times New Roman" w:eastAsia="Times New Roman" w:hAnsi="Times New Roman" w:cs="Times New Roman"/>
          <w:color w:val="000000"/>
          <w:sz w:val="18"/>
          <w:szCs w:val="18"/>
          <w:highlight w:val="yellow"/>
        </w:rPr>
        <w:t>Link to be provided once available.</w:t>
      </w:r>
    </w:p>
  </w:footnote>
  <w:footnote w:id="41">
    <w:p w14:paraId="000008F8"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yellow"/>
        </w:rPr>
      </w:pPr>
      <w:r>
        <w:rPr>
          <w:rStyle w:val="FootnoteReference"/>
        </w:rPr>
        <w:footnoteRef/>
      </w:r>
      <w:r>
        <w:rPr>
          <w:rFonts w:ascii="Times New Roman" w:eastAsia="Times New Roman" w:hAnsi="Times New Roman" w:cs="Times New Roman"/>
          <w:color w:val="000000"/>
          <w:sz w:val="16"/>
          <w:szCs w:val="16"/>
          <w:highlight w:val="yellow"/>
        </w:rPr>
        <w:t xml:space="preserve"> Link to be provided once available.</w:t>
      </w:r>
    </w:p>
  </w:footnote>
  <w:footnote w:id="42">
    <w:p w14:paraId="000008F9"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hyperlink r:id="rId34">
        <w:r>
          <w:rPr>
            <w:rFonts w:ascii="Times New Roman" w:eastAsia="Times New Roman" w:hAnsi="Times New Roman" w:cs="Times New Roman"/>
            <w:color w:val="0000FF"/>
            <w:sz w:val="16"/>
            <w:szCs w:val="16"/>
            <w:u w:val="single"/>
          </w:rPr>
          <w:t>https://apps.who.int/iris/bitstream/handle/10665/331538/WHO-COVID-19-lPC_DBMgmt-2020.1-eng.pdf</w:t>
        </w:r>
      </w:hyperlink>
    </w:p>
  </w:footnote>
  <w:footnote w:id="43">
    <w:p w14:paraId="000008FA"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hyperlink r:id="rId35">
        <w:r>
          <w:rPr>
            <w:rFonts w:ascii="Times New Roman" w:eastAsia="Times New Roman" w:hAnsi="Times New Roman" w:cs="Times New Roman"/>
            <w:color w:val="0000FF"/>
            <w:sz w:val="16"/>
            <w:szCs w:val="16"/>
            <w:u w:val="single"/>
          </w:rPr>
          <w:t>https://apps.who.int/iris/bitstream/handle/10665/331695/WHO-2019-nCov-IPC_PPE_use-2020.3-eng.pdf</w:t>
        </w:r>
      </w:hyperlink>
    </w:p>
  </w:footnote>
  <w:footnote w:id="44">
    <w:sdt>
      <w:sdtPr>
        <w:tag w:val="goog_rdk_474"/>
        <w:id w:val="862940119"/>
      </w:sdtPr>
      <w:sdtContent>
        <w:p w14:paraId="000008FB" w14:textId="77777777" w:rsidR="00EC15FD" w:rsidRDefault="00EC15FD">
          <w:pPr>
            <w:pBdr>
              <w:top w:val="nil"/>
              <w:left w:val="nil"/>
              <w:bottom w:val="nil"/>
              <w:right w:val="nil"/>
              <w:between w:val="nil"/>
            </w:pBdr>
            <w:spacing w:after="0" w:line="240" w:lineRule="auto"/>
            <w:rPr>
              <w:ins w:id="629" w:author="Author" w:date="2020-07-15T05:14:00Z"/>
              <w:del w:id="630" w:author="Author" w:date="2020-07-15T05:14:00Z"/>
              <w:color w:val="000000"/>
              <w:sz w:val="20"/>
              <w:szCs w:val="20"/>
            </w:rPr>
          </w:pPr>
          <w:r>
            <w:rPr>
              <w:rStyle w:val="FootnoteReference"/>
            </w:rPr>
            <w:footnoteRef/>
          </w:r>
          <w:sdt>
            <w:sdtPr>
              <w:tag w:val="goog_rdk_472"/>
              <w:id w:val="-2004968040"/>
            </w:sdtPr>
            <w:sdtContent>
              <w:customXmlInsRangeStart w:id="631" w:author="Author" w:date="2020-07-15T05:14:00Z"/>
              <w:sdt>
                <w:sdtPr>
                  <w:tag w:val="goog_rdk_473"/>
                  <w:id w:val="-1648435068"/>
                </w:sdtPr>
                <w:sdtContent>
                  <w:customXmlInsRangeEnd w:id="631"/>
                  <w:customXmlInsRangeStart w:id="632" w:author="Author" w:date="2020-07-15T05:14:00Z"/>
                </w:sdtContent>
              </w:sdt>
              <w:customXmlInsRangeEnd w:id="632"/>
            </w:sdtContent>
          </w:sdt>
        </w:p>
      </w:sdtContent>
    </w:sdt>
  </w:footnote>
  <w:footnote w:id="45">
    <w:sdt>
      <w:sdtPr>
        <w:tag w:val="goog_rdk_477"/>
        <w:id w:val="-2024626166"/>
      </w:sdtPr>
      <w:sdtContent>
        <w:p w14:paraId="000008FC" w14:textId="77777777" w:rsidR="00EC15FD" w:rsidRDefault="00EC15FD">
          <w:pPr>
            <w:pBdr>
              <w:top w:val="nil"/>
              <w:left w:val="nil"/>
              <w:bottom w:val="nil"/>
              <w:right w:val="nil"/>
              <w:between w:val="nil"/>
            </w:pBdr>
            <w:spacing w:after="0" w:line="240" w:lineRule="auto"/>
            <w:rPr>
              <w:del w:id="636" w:author="Author" w:date="2020-07-15T05:14:00Z"/>
              <w:color w:val="000000"/>
              <w:sz w:val="20"/>
              <w:szCs w:val="20"/>
            </w:rPr>
          </w:pPr>
          <w:r>
            <w:rPr>
              <w:rStyle w:val="FootnoteReference"/>
            </w:rPr>
            <w:footnoteRef/>
          </w:r>
          <w:sdt>
            <w:sdtPr>
              <w:tag w:val="goog_rdk_476"/>
              <w:id w:val="1872794887"/>
            </w:sdtPr>
            <w:sdtContent/>
          </w:sdt>
        </w:p>
      </w:sdtContent>
    </w:sdt>
  </w:footnote>
  <w:footnote w:id="46">
    <w:p w14:paraId="000008FD" w14:textId="77777777" w:rsidR="00EC15FD" w:rsidRDefault="00EC15FD">
      <w:pP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sz w:val="20"/>
          <w:szCs w:val="20"/>
        </w:rPr>
        <w:t xml:space="preserve"> International waterways include</w:t>
      </w:r>
      <w:r>
        <w:rPr>
          <w:rFonts w:ascii="Times New Roman" w:eastAsia="Times New Roman" w:hAnsi="Times New Roman" w:cs="Times New Roman"/>
          <w:color w:val="000000"/>
          <w:sz w:val="20"/>
          <w:szCs w:val="20"/>
        </w:rPr>
        <w:t xml:space="preserve"> any river, canal, lake or similar body of water that forms a boundary between, or any river or surface water that flows through two or more states.</w:t>
      </w:r>
    </w:p>
    <w:p w14:paraId="000008FE" w14:textId="77777777" w:rsidR="00EC15FD" w:rsidRDefault="00EC15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47">
    <w:p w14:paraId="000008FF" w14:textId="77777777" w:rsidR="00EC15FD" w:rsidRDefault="00EC15FD">
      <w:pPr>
        <w:pBdr>
          <w:top w:val="nil"/>
          <w:left w:val="nil"/>
          <w:bottom w:val="nil"/>
          <w:right w:val="nil"/>
          <w:between w:val="nil"/>
        </w:pBdr>
        <w:spacing w:after="150" w:line="240" w:lineRule="auto"/>
        <w:jc w:val="both"/>
        <w:rPr>
          <w:rFonts w:ascii="Times New Roman" w:eastAsia="Times New Roman" w:hAnsi="Times New Roman" w:cs="Times New Roman"/>
          <w:color w:val="4F81BD"/>
          <w:sz w:val="24"/>
          <w:szCs w:val="24"/>
        </w:rPr>
      </w:pPr>
      <w:r>
        <w:rPr>
          <w:rStyle w:val="FootnoteReference"/>
        </w:rPr>
        <w:footnoteRef/>
      </w:r>
      <w:r>
        <w:rPr>
          <w:color w:val="4F81BD"/>
          <w:sz w:val="18"/>
          <w:szCs w:val="18"/>
        </w:rPr>
        <w:t xml:space="preserve"> The full list if sectors is as follows:</w:t>
      </w:r>
      <w:r>
        <w:rPr>
          <w:rFonts w:ascii="Times New Roman" w:eastAsia="Times New Roman" w:hAnsi="Times New Roman" w:cs="Times New Roman"/>
          <w:color w:val="4F81BD"/>
          <w:sz w:val="24"/>
          <w:szCs w:val="24"/>
        </w:rPr>
        <w:t xml:space="preserve"> </w:t>
      </w:r>
      <w:r>
        <w:rPr>
          <w:color w:val="4F81BD"/>
          <w:sz w:val="18"/>
          <w:szCs w:val="18"/>
        </w:rPr>
        <w:t>Agriculture, hunting and forestry</w:t>
      </w:r>
      <w:r>
        <w:rPr>
          <w:rFonts w:ascii="Times New Roman" w:eastAsia="Times New Roman" w:hAnsi="Times New Roman" w:cs="Times New Roman"/>
          <w:color w:val="4F81BD"/>
          <w:sz w:val="24"/>
          <w:szCs w:val="24"/>
        </w:rPr>
        <w:t xml:space="preserve">; </w:t>
      </w:r>
      <w:r>
        <w:rPr>
          <w:color w:val="4F81BD"/>
          <w:sz w:val="18"/>
          <w:szCs w:val="18"/>
        </w:rPr>
        <w:t>Fishing</w:t>
      </w:r>
      <w:r>
        <w:rPr>
          <w:rFonts w:ascii="Times New Roman" w:eastAsia="Times New Roman" w:hAnsi="Times New Roman" w:cs="Times New Roman"/>
          <w:color w:val="4F81BD"/>
          <w:sz w:val="24"/>
          <w:szCs w:val="24"/>
        </w:rPr>
        <w:t xml:space="preserve">; </w:t>
      </w:r>
      <w:r>
        <w:rPr>
          <w:color w:val="4F81BD"/>
          <w:sz w:val="18"/>
          <w:szCs w:val="18"/>
        </w:rPr>
        <w:t>Mining</w:t>
      </w:r>
      <w:r>
        <w:rPr>
          <w:rFonts w:ascii="Times New Roman" w:eastAsia="Times New Roman" w:hAnsi="Times New Roman" w:cs="Times New Roman"/>
          <w:color w:val="4F81BD"/>
          <w:sz w:val="24"/>
          <w:szCs w:val="24"/>
        </w:rPr>
        <w:t>;</w:t>
      </w:r>
      <w:r>
        <w:rPr>
          <w:color w:val="4F81BD"/>
          <w:sz w:val="18"/>
          <w:szCs w:val="18"/>
        </w:rPr>
        <w:t xml:space="preserve"> Textile production</w:t>
      </w:r>
      <w:r>
        <w:rPr>
          <w:rFonts w:ascii="Times New Roman" w:eastAsia="Times New Roman" w:hAnsi="Times New Roman" w:cs="Times New Roman"/>
          <w:color w:val="4F81BD"/>
          <w:sz w:val="24"/>
          <w:szCs w:val="24"/>
        </w:rPr>
        <w:t xml:space="preserve">; </w:t>
      </w:r>
      <w:r>
        <w:rPr>
          <w:color w:val="4F81BD"/>
          <w:sz w:val="18"/>
          <w:szCs w:val="18"/>
        </w:rPr>
        <w:t xml:space="preserve"> Leather and shoe production</w:t>
      </w:r>
      <w:r>
        <w:rPr>
          <w:rFonts w:ascii="Times New Roman" w:eastAsia="Times New Roman" w:hAnsi="Times New Roman" w:cs="Times New Roman"/>
          <w:color w:val="4F81BD"/>
          <w:sz w:val="24"/>
          <w:szCs w:val="24"/>
        </w:rPr>
        <w:t xml:space="preserve">; </w:t>
      </w:r>
      <w:r>
        <w:rPr>
          <w:color w:val="4F81BD"/>
          <w:sz w:val="18"/>
          <w:szCs w:val="18"/>
        </w:rPr>
        <w:t>Paper production, publishing</w:t>
      </w:r>
      <w:r>
        <w:rPr>
          <w:rFonts w:ascii="Times New Roman" w:eastAsia="Times New Roman" w:hAnsi="Times New Roman" w:cs="Times New Roman"/>
          <w:color w:val="4F81BD"/>
          <w:sz w:val="24"/>
          <w:szCs w:val="24"/>
        </w:rPr>
        <w:t xml:space="preserve">; </w:t>
      </w:r>
      <w:r>
        <w:rPr>
          <w:color w:val="4F81BD"/>
          <w:sz w:val="18"/>
          <w:szCs w:val="18"/>
        </w:rPr>
        <w:t xml:space="preserve"> Oil and atomic product production</w:t>
      </w:r>
      <w:r>
        <w:rPr>
          <w:rFonts w:ascii="Times New Roman" w:eastAsia="Times New Roman" w:hAnsi="Times New Roman" w:cs="Times New Roman"/>
          <w:color w:val="4F81BD"/>
          <w:sz w:val="24"/>
          <w:szCs w:val="24"/>
        </w:rPr>
        <w:t xml:space="preserve">; </w:t>
      </w:r>
      <w:r>
        <w:rPr>
          <w:color w:val="4F81BD"/>
          <w:sz w:val="18"/>
          <w:szCs w:val="18"/>
        </w:rPr>
        <w:t xml:space="preserve"> Chemical production</w:t>
      </w:r>
      <w:r>
        <w:rPr>
          <w:rFonts w:ascii="Times New Roman" w:eastAsia="Times New Roman" w:hAnsi="Times New Roman" w:cs="Times New Roman"/>
          <w:color w:val="4F81BD"/>
          <w:sz w:val="24"/>
          <w:szCs w:val="24"/>
        </w:rPr>
        <w:t xml:space="preserve">; </w:t>
      </w:r>
      <w:r>
        <w:rPr>
          <w:color w:val="4F81BD"/>
          <w:sz w:val="18"/>
          <w:szCs w:val="18"/>
        </w:rPr>
        <w:t>Non-metal mineral product production</w:t>
      </w:r>
      <w:r>
        <w:rPr>
          <w:rFonts w:ascii="Times New Roman" w:eastAsia="Times New Roman" w:hAnsi="Times New Roman" w:cs="Times New Roman"/>
          <w:color w:val="4F81BD"/>
          <w:sz w:val="24"/>
          <w:szCs w:val="24"/>
        </w:rPr>
        <w:t xml:space="preserve">; </w:t>
      </w:r>
      <w:r>
        <w:rPr>
          <w:color w:val="4F81BD"/>
          <w:sz w:val="18"/>
          <w:szCs w:val="18"/>
        </w:rPr>
        <w:t>Metal production</w:t>
      </w:r>
      <w:r>
        <w:rPr>
          <w:rFonts w:ascii="Times New Roman" w:eastAsia="Times New Roman" w:hAnsi="Times New Roman" w:cs="Times New Roman"/>
          <w:color w:val="4F81BD"/>
          <w:sz w:val="24"/>
          <w:szCs w:val="24"/>
        </w:rPr>
        <w:t xml:space="preserve">; </w:t>
      </w:r>
      <w:r>
        <w:rPr>
          <w:color w:val="4F81BD"/>
          <w:sz w:val="18"/>
          <w:szCs w:val="18"/>
        </w:rPr>
        <w:t xml:space="preserve"> Electricity, natural gas and water supply and distribution</w:t>
      </w:r>
      <w:r>
        <w:rPr>
          <w:rFonts w:ascii="Times New Roman" w:eastAsia="Times New Roman" w:hAnsi="Times New Roman" w:cs="Times New Roman"/>
          <w:color w:val="4F81BD"/>
          <w:sz w:val="24"/>
          <w:szCs w:val="24"/>
        </w:rPr>
        <w:t xml:space="preserve">; </w:t>
      </w:r>
      <w:r>
        <w:rPr>
          <w:color w:val="4F81BD"/>
          <w:sz w:val="18"/>
          <w:szCs w:val="18"/>
        </w:rPr>
        <w:t>Construction; Trading automobiles, household appliances and personal usage item repair; Hotels and restaurants</w:t>
      </w:r>
      <w:r>
        <w:rPr>
          <w:rFonts w:ascii="Times New Roman" w:eastAsia="Times New Roman" w:hAnsi="Times New Roman" w:cs="Times New Roman"/>
          <w:color w:val="4F81BD"/>
          <w:sz w:val="24"/>
          <w:szCs w:val="24"/>
        </w:rPr>
        <w:t xml:space="preserve">; </w:t>
      </w:r>
      <w:r>
        <w:rPr>
          <w:color w:val="4F81BD"/>
          <w:sz w:val="18"/>
          <w:szCs w:val="18"/>
        </w:rPr>
        <w:t xml:space="preserve"> Real estate transactions, leasing and customer service</w:t>
      </w:r>
      <w:r>
        <w:rPr>
          <w:rFonts w:ascii="Times New Roman" w:eastAsia="Times New Roman" w:hAnsi="Times New Roman" w:cs="Times New Roman"/>
          <w:color w:val="4F81BD"/>
          <w:sz w:val="24"/>
          <w:szCs w:val="24"/>
        </w:rPr>
        <w:t xml:space="preserve">; </w:t>
      </w:r>
      <w:r>
        <w:rPr>
          <w:color w:val="4F81BD"/>
          <w:sz w:val="18"/>
          <w:szCs w:val="18"/>
        </w:rPr>
        <w:t>Transportation and telecommunication; Certain governmental services (customs, tax authorities, social programs, prisons etc.;  Health care system</w:t>
      </w:r>
      <w:r>
        <w:rPr>
          <w:rFonts w:ascii="Times New Roman" w:eastAsia="Times New Roman" w:hAnsi="Times New Roman" w:cs="Times New Roman"/>
          <w:color w:val="4F81BD"/>
          <w:sz w:val="24"/>
          <w:szCs w:val="24"/>
        </w:rPr>
        <w:t xml:space="preserve">; </w:t>
      </w:r>
      <w:r>
        <w:rPr>
          <w:color w:val="4F81BD"/>
          <w:sz w:val="18"/>
          <w:szCs w:val="18"/>
        </w:rPr>
        <w:t xml:space="preserve"> Electricity dispatcher;   Legal aid  (attorney work;    Environmental protection services: Hydro meteorology, protection of atomic and radiation security</w:t>
      </w:r>
      <w:r>
        <w:rPr>
          <w:rFonts w:ascii="Times New Roman" w:eastAsia="Times New Roman" w:hAnsi="Times New Roman" w:cs="Times New Roman"/>
          <w:color w:val="4F81BD"/>
          <w:sz w:val="24"/>
          <w:szCs w:val="24"/>
        </w:rPr>
        <w:t xml:space="preserve">; </w:t>
      </w:r>
      <w:r>
        <w:rPr>
          <w:color w:val="4F81BD"/>
          <w:sz w:val="18"/>
          <w:szCs w:val="18"/>
        </w:rPr>
        <w:t xml:space="preserve"> General education;  Professional education</w:t>
      </w:r>
    </w:p>
    <w:p w14:paraId="00000900" w14:textId="77777777" w:rsidR="00EC15FD" w:rsidRDefault="00EC15FD">
      <w:pPr>
        <w:pBdr>
          <w:top w:val="nil"/>
          <w:left w:val="nil"/>
          <w:bottom w:val="nil"/>
          <w:right w:val="nil"/>
          <w:between w:val="nil"/>
        </w:pBdr>
        <w:spacing w:after="0" w:line="240" w:lineRule="auto"/>
        <w:rPr>
          <w:color w:val="000000"/>
          <w:sz w:val="20"/>
          <w:szCs w:val="20"/>
        </w:rPr>
      </w:pPr>
    </w:p>
    <w:p w14:paraId="00000901" w14:textId="77777777" w:rsidR="00EC15FD" w:rsidRDefault="00EC15FD">
      <w:pPr>
        <w:widowControl w:val="0"/>
        <w:pBdr>
          <w:top w:val="nil"/>
          <w:left w:val="nil"/>
          <w:bottom w:val="nil"/>
          <w:right w:val="nil"/>
          <w:between w:val="nil"/>
        </w:pBdr>
        <w:spacing w:after="0"/>
        <w:rPr>
          <w:color w:val="000000"/>
          <w:sz w:val="20"/>
          <w:szCs w:val="20"/>
        </w:rPr>
      </w:pPr>
    </w:p>
  </w:footnote>
  <w:footnote w:id="48">
    <w:p w14:paraId="00000902" w14:textId="77777777" w:rsidR="00EC15FD" w:rsidRDefault="00EC15FD">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4F81BD"/>
          <w:sz w:val="20"/>
          <w:szCs w:val="20"/>
        </w:rPr>
        <w:t xml:space="preserve"> </w:t>
      </w:r>
      <w:r>
        <w:rPr>
          <w:i/>
          <w:color w:val="4F81BD"/>
          <w:sz w:val="20"/>
          <w:szCs w:val="20"/>
        </w:rPr>
        <w:t xml:space="preserve">The Resolution 381 of the Government of Georgia </w:t>
      </w:r>
      <w:r>
        <w:rPr>
          <w:i/>
          <w:color w:val="4F81BD"/>
          <w:sz w:val="20"/>
          <w:szCs w:val="20"/>
          <w:highlight w:val="white"/>
        </w:rPr>
        <w:t>on approving the list of heavy, harmful and hazardous works with increased danger (July 2018)</w:t>
      </w:r>
      <w:r>
        <w:rPr>
          <w:color w:val="4F81BD"/>
          <w:sz w:val="20"/>
          <w:szCs w:val="20"/>
          <w:highlight w:val="white"/>
        </w:rPr>
        <w:t xml:space="preserve"> provides an extensive list of sectors and types of works which are considered heavy, harmful and hazardous such as construction and civil construction related works, mining, extraction of metal, oil and natural gas, production of basic materials, production of electrical and transport equipment and machines, electricity and gas supply, chemical, rubber, plastic and pharmaceuticals production, timer processing, forestry related works, textile and furniture production, food production, works related to transport sector,  works related to water supply, sewerage, waste management, and pollution cleaning. </w:t>
      </w:r>
    </w:p>
    <w:p w14:paraId="00000903" w14:textId="77777777" w:rsidR="00EC15FD" w:rsidRDefault="00EC15FD">
      <w:pPr>
        <w:widowControl w:val="0"/>
        <w:pBdr>
          <w:top w:val="nil"/>
          <w:left w:val="nil"/>
          <w:bottom w:val="nil"/>
          <w:right w:val="nil"/>
          <w:between w:val="nil"/>
        </w:pBdr>
        <w:spacing w:after="0"/>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6" w14:textId="77777777" w:rsidR="00EC15FD" w:rsidRDefault="00EC15F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4" w14:textId="77777777" w:rsidR="00EC15FD" w:rsidRDefault="00EC15F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Georgia Emergency COVID-19 Response Project                                                                                                                                                    </w:t>
    </w:r>
  </w:p>
  <w:p w14:paraId="00000905" w14:textId="4260BD1D" w:rsidR="00EC15FD" w:rsidRDefault="00EC15F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Environmental and Social Management Framework                                                                                                           Draft of July 20, 2020</w:t>
    </w:r>
    <w:r>
      <w:rPr>
        <w:rFonts w:ascii="Times New Roman" w:eastAsia="Times New Roman" w:hAnsi="Times New Roman" w:cs="Times New Roman"/>
        <w:b/>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7" w14:textId="77777777" w:rsidR="00EC15FD" w:rsidRDefault="00EC15FD">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9" w14:textId="77777777" w:rsidR="00EC15FD" w:rsidRDefault="00EC15F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COVID-19 Response ESMF – ESMP</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8" w14:textId="77777777" w:rsidR="00EC15FD" w:rsidRDefault="00EC15F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COVID-19 Response ESMF – ICWMP</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B" w14:textId="77777777" w:rsidR="00EC15FD" w:rsidRDefault="00EC15F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COVID-19 Response ESMF – ICWMP</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A" w14:textId="77777777" w:rsidR="00EC15FD" w:rsidRDefault="00EC15F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COVID-19 Response ESMF – LMP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F5B"/>
    <w:multiLevelType w:val="multilevel"/>
    <w:tmpl w:val="C062FCE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780874"/>
    <w:multiLevelType w:val="multilevel"/>
    <w:tmpl w:val="E58A61F0"/>
    <w:lvl w:ilvl="0">
      <w:start w:val="1"/>
      <w:numFmt w:val="decimal"/>
      <w:lvlText w:val="1.%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4415F4"/>
    <w:multiLevelType w:val="multilevel"/>
    <w:tmpl w:val="D10C35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256178"/>
    <w:multiLevelType w:val="multilevel"/>
    <w:tmpl w:val="20E68424"/>
    <w:lvl w:ilvl="0">
      <w:start w:val="1"/>
      <w:numFmt w:val="decimal"/>
      <w:lvlText w:val="%1."/>
      <w:lvlJc w:val="left"/>
      <w:pPr>
        <w:ind w:left="360" w:hanging="360"/>
      </w:pPr>
    </w:lvl>
    <w:lvl w:ilvl="1">
      <w:start w:val="2"/>
      <w:numFmt w:val="decimal"/>
      <w:lvlText w:val="%1.%2"/>
      <w:lvlJc w:val="left"/>
      <w:pPr>
        <w:ind w:left="1103" w:hanging="383"/>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04E27F47"/>
    <w:multiLevelType w:val="multilevel"/>
    <w:tmpl w:val="226282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0632500D"/>
    <w:multiLevelType w:val="multilevel"/>
    <w:tmpl w:val="7A2443B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D41147"/>
    <w:multiLevelType w:val="hybridMultilevel"/>
    <w:tmpl w:val="91722878"/>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F75C8"/>
    <w:multiLevelType w:val="multilevel"/>
    <w:tmpl w:val="93580EA8"/>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EA037F8"/>
    <w:multiLevelType w:val="multilevel"/>
    <w:tmpl w:val="A5A8D1C0"/>
    <w:lvl w:ilvl="0">
      <w:start w:val="1"/>
      <w:numFmt w:val="bullet"/>
      <w:lvlText w:val="●"/>
      <w:lvlJc w:val="left"/>
      <w:pPr>
        <w:ind w:left="108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7810AD"/>
    <w:multiLevelType w:val="multilevel"/>
    <w:tmpl w:val="BEF8AE1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4F65F73"/>
    <w:multiLevelType w:val="multilevel"/>
    <w:tmpl w:val="072A335A"/>
    <w:lvl w:ilvl="0">
      <w:start w:val="1"/>
      <w:numFmt w:val="decimal"/>
      <w:pStyle w:val="Bulletdo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5BB4E5B"/>
    <w:multiLevelType w:val="multilevel"/>
    <w:tmpl w:val="91BEBC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6876FF8"/>
    <w:multiLevelType w:val="multilevel"/>
    <w:tmpl w:val="8A64AB5E"/>
    <w:lvl w:ilvl="0">
      <w:start w:val="1"/>
      <w:numFmt w:val="decimal"/>
      <w:lvlText w:val="%1."/>
      <w:lvlJc w:val="left"/>
      <w:pPr>
        <w:ind w:left="36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 w15:restartNumberingAfterBreak="0">
    <w:nsid w:val="177C236C"/>
    <w:multiLevelType w:val="multilevel"/>
    <w:tmpl w:val="2C06711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6503BD"/>
    <w:multiLevelType w:val="multilevel"/>
    <w:tmpl w:val="2F567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8B4186"/>
    <w:multiLevelType w:val="multilevel"/>
    <w:tmpl w:val="EC701ADE"/>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B971955"/>
    <w:multiLevelType w:val="multilevel"/>
    <w:tmpl w:val="20A22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76527F"/>
    <w:multiLevelType w:val="multilevel"/>
    <w:tmpl w:val="20D2959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691DD8"/>
    <w:multiLevelType w:val="multilevel"/>
    <w:tmpl w:val="4A609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C27018"/>
    <w:multiLevelType w:val="multilevel"/>
    <w:tmpl w:val="2AB49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D60EDA"/>
    <w:multiLevelType w:val="multilevel"/>
    <w:tmpl w:val="DC6E1F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6FF3C26"/>
    <w:multiLevelType w:val="multilevel"/>
    <w:tmpl w:val="87925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83527B2"/>
    <w:multiLevelType w:val="multilevel"/>
    <w:tmpl w:val="3AC04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9C075F1"/>
    <w:multiLevelType w:val="multilevel"/>
    <w:tmpl w:val="D5104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A32BCA"/>
    <w:multiLevelType w:val="multilevel"/>
    <w:tmpl w:val="1AA6C15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D0E34E3"/>
    <w:multiLevelType w:val="multilevel"/>
    <w:tmpl w:val="4F8C44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EF53B15"/>
    <w:multiLevelType w:val="multilevel"/>
    <w:tmpl w:val="B268B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52D387A"/>
    <w:multiLevelType w:val="multilevel"/>
    <w:tmpl w:val="9A3C9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FC2EC5"/>
    <w:multiLevelType w:val="multilevel"/>
    <w:tmpl w:val="E0F6D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374C1140"/>
    <w:multiLevelType w:val="multilevel"/>
    <w:tmpl w:val="F1C6DC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E81119E"/>
    <w:multiLevelType w:val="multilevel"/>
    <w:tmpl w:val="02A82C10"/>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1104187"/>
    <w:multiLevelType w:val="multilevel"/>
    <w:tmpl w:val="470C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5B784C"/>
    <w:multiLevelType w:val="multilevel"/>
    <w:tmpl w:val="965236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43D09DF"/>
    <w:multiLevelType w:val="multilevel"/>
    <w:tmpl w:val="D0142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5C4D9D"/>
    <w:multiLevelType w:val="multilevel"/>
    <w:tmpl w:val="AAB45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5231C9F"/>
    <w:multiLevelType w:val="multilevel"/>
    <w:tmpl w:val="7E4CB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5BB553D"/>
    <w:multiLevelType w:val="multilevel"/>
    <w:tmpl w:val="967A7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497F3F9D"/>
    <w:multiLevelType w:val="multilevel"/>
    <w:tmpl w:val="71B46214"/>
    <w:lvl w:ilvl="0">
      <w:start w:val="2"/>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A6377D8"/>
    <w:multiLevelType w:val="multilevel"/>
    <w:tmpl w:val="BC1C2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A6E1FD6"/>
    <w:multiLevelType w:val="multilevel"/>
    <w:tmpl w:val="F8405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4B7F1BF1"/>
    <w:multiLevelType w:val="multilevel"/>
    <w:tmpl w:val="600E65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F814122"/>
    <w:multiLevelType w:val="multilevel"/>
    <w:tmpl w:val="D56636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38E386B"/>
    <w:multiLevelType w:val="multilevel"/>
    <w:tmpl w:val="3D124D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569D7BCD"/>
    <w:multiLevelType w:val="multilevel"/>
    <w:tmpl w:val="8E362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72B473D"/>
    <w:multiLevelType w:val="multilevel"/>
    <w:tmpl w:val="840E8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5CFF646D"/>
    <w:multiLevelType w:val="multilevel"/>
    <w:tmpl w:val="00787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F256A66"/>
    <w:multiLevelType w:val="multilevel"/>
    <w:tmpl w:val="14A41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FF74B5E"/>
    <w:multiLevelType w:val="multilevel"/>
    <w:tmpl w:val="13A62E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601A051B"/>
    <w:multiLevelType w:val="multilevel"/>
    <w:tmpl w:val="2D4E83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60F9799A"/>
    <w:multiLevelType w:val="multilevel"/>
    <w:tmpl w:val="B99A00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484327"/>
    <w:multiLevelType w:val="multilevel"/>
    <w:tmpl w:val="01C2F1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18D2D96"/>
    <w:multiLevelType w:val="multilevel"/>
    <w:tmpl w:val="438CC3B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2AA516E"/>
    <w:multiLevelType w:val="multilevel"/>
    <w:tmpl w:val="619E4E9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3" w15:restartNumberingAfterBreak="0">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38F2AA9"/>
    <w:multiLevelType w:val="multilevel"/>
    <w:tmpl w:val="B406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4695923"/>
    <w:multiLevelType w:val="multilevel"/>
    <w:tmpl w:val="C67C1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9577893"/>
    <w:multiLevelType w:val="multilevel"/>
    <w:tmpl w:val="E0B0569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6C1D54BA"/>
    <w:multiLevelType w:val="multilevel"/>
    <w:tmpl w:val="32B25198"/>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CC211A7"/>
    <w:multiLevelType w:val="multilevel"/>
    <w:tmpl w:val="BF06C6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EBC7AB2"/>
    <w:multiLevelType w:val="multilevel"/>
    <w:tmpl w:val="A1105D38"/>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6F475036"/>
    <w:multiLevelType w:val="multilevel"/>
    <w:tmpl w:val="B754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E27A14"/>
    <w:multiLevelType w:val="multilevel"/>
    <w:tmpl w:val="655A973E"/>
    <w:lvl w:ilvl="0">
      <w:start w:val="1"/>
      <w:numFmt w:val="bullet"/>
      <w:lvlText w:val="●"/>
      <w:lvlJc w:val="left"/>
      <w:pPr>
        <w:ind w:left="360" w:hanging="360"/>
      </w:pPr>
      <w:rPr>
        <w:rFonts w:ascii="Noto Sans Symbols" w:eastAsia="Noto Sans Symbols" w:hAnsi="Noto Sans Symbols" w:cs="Noto Sans Symbols"/>
        <w:b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02B5FF9"/>
    <w:multiLevelType w:val="multilevel"/>
    <w:tmpl w:val="6298B7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4133B85"/>
    <w:multiLevelType w:val="multilevel"/>
    <w:tmpl w:val="48FEC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69923E8"/>
    <w:multiLevelType w:val="multilevel"/>
    <w:tmpl w:val="7F6CEB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7204E61"/>
    <w:multiLevelType w:val="multilevel"/>
    <w:tmpl w:val="6680C9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8150DE0"/>
    <w:multiLevelType w:val="multilevel"/>
    <w:tmpl w:val="07324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9A74E75"/>
    <w:multiLevelType w:val="multilevel"/>
    <w:tmpl w:val="653C36E0"/>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79F50882"/>
    <w:multiLevelType w:val="multilevel"/>
    <w:tmpl w:val="3ED87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AF319C9"/>
    <w:multiLevelType w:val="multilevel"/>
    <w:tmpl w:val="BBFAE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C4076A8"/>
    <w:multiLevelType w:val="multilevel"/>
    <w:tmpl w:val="BA34F8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7C546AD5"/>
    <w:multiLevelType w:val="multilevel"/>
    <w:tmpl w:val="69CC58EA"/>
    <w:lvl w:ilvl="0">
      <w:start w:val="1"/>
      <w:numFmt w:val="bullet"/>
      <w:lvlText w:val="●"/>
      <w:lvlJc w:val="left"/>
      <w:pPr>
        <w:ind w:left="360" w:hanging="360"/>
      </w:pPr>
      <w:rPr>
        <w:rFonts w:ascii="Noto Sans Symbols" w:eastAsia="Noto Sans Symbols" w:hAnsi="Noto Sans Symbols" w:cs="Noto Sans Symbols"/>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7D103356"/>
    <w:multiLevelType w:val="multilevel"/>
    <w:tmpl w:val="680AC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F2D3514"/>
    <w:multiLevelType w:val="multilevel"/>
    <w:tmpl w:val="0B761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5"/>
  </w:num>
  <w:num w:numId="2">
    <w:abstractNumId w:val="56"/>
  </w:num>
  <w:num w:numId="3">
    <w:abstractNumId w:val="0"/>
  </w:num>
  <w:num w:numId="4">
    <w:abstractNumId w:val="4"/>
  </w:num>
  <w:num w:numId="5">
    <w:abstractNumId w:val="3"/>
  </w:num>
  <w:num w:numId="6">
    <w:abstractNumId w:val="1"/>
  </w:num>
  <w:num w:numId="7">
    <w:abstractNumId w:val="43"/>
  </w:num>
  <w:num w:numId="8">
    <w:abstractNumId w:val="61"/>
  </w:num>
  <w:num w:numId="9">
    <w:abstractNumId w:val="44"/>
  </w:num>
  <w:num w:numId="10">
    <w:abstractNumId w:val="51"/>
  </w:num>
  <w:num w:numId="11">
    <w:abstractNumId w:val="59"/>
  </w:num>
  <w:num w:numId="12">
    <w:abstractNumId w:val="46"/>
  </w:num>
  <w:num w:numId="13">
    <w:abstractNumId w:val="45"/>
  </w:num>
  <w:num w:numId="14">
    <w:abstractNumId w:val="73"/>
  </w:num>
  <w:num w:numId="15">
    <w:abstractNumId w:val="5"/>
  </w:num>
  <w:num w:numId="16">
    <w:abstractNumId w:val="7"/>
  </w:num>
  <w:num w:numId="17">
    <w:abstractNumId w:val="31"/>
  </w:num>
  <w:num w:numId="18">
    <w:abstractNumId w:val="8"/>
  </w:num>
  <w:num w:numId="19">
    <w:abstractNumId w:val="25"/>
  </w:num>
  <w:num w:numId="20">
    <w:abstractNumId w:val="64"/>
  </w:num>
  <w:num w:numId="21">
    <w:abstractNumId w:val="67"/>
  </w:num>
  <w:num w:numId="22">
    <w:abstractNumId w:val="47"/>
  </w:num>
  <w:num w:numId="23">
    <w:abstractNumId w:val="62"/>
  </w:num>
  <w:num w:numId="24">
    <w:abstractNumId w:val="30"/>
  </w:num>
  <w:num w:numId="25">
    <w:abstractNumId w:val="48"/>
  </w:num>
  <w:num w:numId="26">
    <w:abstractNumId w:val="35"/>
  </w:num>
  <w:num w:numId="27">
    <w:abstractNumId w:val="66"/>
  </w:num>
  <w:num w:numId="28">
    <w:abstractNumId w:val="14"/>
  </w:num>
  <w:num w:numId="29">
    <w:abstractNumId w:val="50"/>
  </w:num>
  <w:num w:numId="30">
    <w:abstractNumId w:val="54"/>
  </w:num>
  <w:num w:numId="31">
    <w:abstractNumId w:val="58"/>
  </w:num>
  <w:num w:numId="32">
    <w:abstractNumId w:val="15"/>
  </w:num>
  <w:num w:numId="33">
    <w:abstractNumId w:val="71"/>
  </w:num>
  <w:num w:numId="34">
    <w:abstractNumId w:val="34"/>
  </w:num>
  <w:num w:numId="35">
    <w:abstractNumId w:val="2"/>
  </w:num>
  <w:num w:numId="36">
    <w:abstractNumId w:val="24"/>
  </w:num>
  <w:num w:numId="37">
    <w:abstractNumId w:val="60"/>
  </w:num>
  <w:num w:numId="38">
    <w:abstractNumId w:val="65"/>
  </w:num>
  <w:num w:numId="39">
    <w:abstractNumId w:val="22"/>
  </w:num>
  <w:num w:numId="40">
    <w:abstractNumId w:val="38"/>
  </w:num>
  <w:num w:numId="41">
    <w:abstractNumId w:val="19"/>
  </w:num>
  <w:num w:numId="42">
    <w:abstractNumId w:val="16"/>
  </w:num>
  <w:num w:numId="43">
    <w:abstractNumId w:val="40"/>
  </w:num>
  <w:num w:numId="44">
    <w:abstractNumId w:val="29"/>
  </w:num>
  <w:num w:numId="45">
    <w:abstractNumId w:val="36"/>
  </w:num>
  <w:num w:numId="46">
    <w:abstractNumId w:val="28"/>
  </w:num>
  <w:num w:numId="47">
    <w:abstractNumId w:val="9"/>
  </w:num>
  <w:num w:numId="48">
    <w:abstractNumId w:val="20"/>
  </w:num>
  <w:num w:numId="49">
    <w:abstractNumId w:val="70"/>
  </w:num>
  <w:num w:numId="50">
    <w:abstractNumId w:val="37"/>
  </w:num>
  <w:num w:numId="51">
    <w:abstractNumId w:val="69"/>
  </w:num>
  <w:num w:numId="52">
    <w:abstractNumId w:val="13"/>
  </w:num>
  <w:num w:numId="53">
    <w:abstractNumId w:val="26"/>
  </w:num>
  <w:num w:numId="54">
    <w:abstractNumId w:val="42"/>
  </w:num>
  <w:num w:numId="55">
    <w:abstractNumId w:val="18"/>
  </w:num>
  <w:num w:numId="56">
    <w:abstractNumId w:val="12"/>
  </w:num>
  <w:num w:numId="57">
    <w:abstractNumId w:val="63"/>
  </w:num>
  <w:num w:numId="58">
    <w:abstractNumId w:val="72"/>
  </w:num>
  <w:num w:numId="59">
    <w:abstractNumId w:val="68"/>
  </w:num>
  <w:num w:numId="60">
    <w:abstractNumId w:val="33"/>
  </w:num>
  <w:num w:numId="61">
    <w:abstractNumId w:val="27"/>
  </w:num>
  <w:num w:numId="62">
    <w:abstractNumId w:val="49"/>
  </w:num>
  <w:num w:numId="63">
    <w:abstractNumId w:val="23"/>
  </w:num>
  <w:num w:numId="64">
    <w:abstractNumId w:val="11"/>
  </w:num>
  <w:num w:numId="65">
    <w:abstractNumId w:val="17"/>
  </w:num>
  <w:num w:numId="66">
    <w:abstractNumId w:val="57"/>
  </w:num>
  <w:num w:numId="67">
    <w:abstractNumId w:val="39"/>
  </w:num>
  <w:num w:numId="68">
    <w:abstractNumId w:val="21"/>
  </w:num>
  <w:num w:numId="69">
    <w:abstractNumId w:val="32"/>
  </w:num>
  <w:num w:numId="70">
    <w:abstractNumId w:val="52"/>
  </w:num>
  <w:num w:numId="71">
    <w:abstractNumId w:val="41"/>
  </w:num>
  <w:num w:numId="72">
    <w:abstractNumId w:val="10"/>
  </w:num>
  <w:num w:numId="73">
    <w:abstractNumId w:val="6"/>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lena Lukic">
    <w15:presenceInfo w15:providerId="AD" w15:userId="S::jlukic@worldbank.org::33a06fc5-cc04-444f-8ea4-9caa244a41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87"/>
    <w:rsid w:val="00365777"/>
    <w:rsid w:val="00483E40"/>
    <w:rsid w:val="00790D5B"/>
    <w:rsid w:val="007D6679"/>
    <w:rsid w:val="009F1887"/>
    <w:rsid w:val="00B8141B"/>
    <w:rsid w:val="00E17A18"/>
    <w:rsid w:val="00EC15FD"/>
    <w:rsid w:val="00EF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C20EA"/>
  <w15:docId w15:val="{0C5DC2AA-10B9-4F23-A315-B6A1B088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02F3"/>
    <w:pPr>
      <w:keepNext/>
      <w:keepLines/>
      <w:spacing w:before="360" w:after="120" w:line="24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9D7C70"/>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D59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E31B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9A6EC3"/>
    <w:pPr>
      <w:ind w:left="720"/>
      <w:contextualSpacing/>
    </w:pPr>
  </w:style>
  <w:style w:type="paragraph" w:styleId="CommentText">
    <w:name w:val="annotation text"/>
    <w:basedOn w:val="Normal"/>
    <w:link w:val="CommentTextChar"/>
    <w:uiPriority w:val="99"/>
    <w:qFormat/>
    <w:rsid w:val="009A6EC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A6EC3"/>
    <w:rPr>
      <w:rFonts w:ascii="Times New Roman" w:eastAsia="Times New Roman" w:hAnsi="Times New Roman" w:cs="Times New Roman"/>
      <w:sz w:val="20"/>
      <w:szCs w:val="20"/>
    </w:rPr>
  </w:style>
  <w:style w:type="paragraph" w:customStyle="1" w:styleId="Default">
    <w:name w:val="Default"/>
    <w:link w:val="DefaultChar"/>
    <w:rsid w:val="009A6EC3"/>
    <w:pPr>
      <w:autoSpaceDE w:val="0"/>
      <w:autoSpaceDN w:val="0"/>
      <w:adjustRightInd w:val="0"/>
      <w:spacing w:after="0" w:line="240" w:lineRule="auto"/>
    </w:pPr>
    <w:rPr>
      <w:rFonts w:ascii="Arial" w:hAnsi="Arial" w:cs="Arial"/>
      <w:color w:val="000000"/>
      <w:sz w:val="24"/>
      <w:szCs w:val="24"/>
      <w:lang w:val="en-CA"/>
    </w:rPr>
  </w:style>
  <w:style w:type="character" w:styleId="CommentReference">
    <w:name w:val="annotation reference"/>
    <w:basedOn w:val="DefaultParagraphFont"/>
    <w:uiPriority w:val="99"/>
    <w:unhideWhenUsed/>
    <w:rsid w:val="009A6EC3"/>
    <w:rPr>
      <w:sz w:val="16"/>
      <w:szCs w:val="16"/>
    </w:rPr>
  </w:style>
  <w:style w:type="paragraph" w:customStyle="1" w:styleId="head2">
    <w:name w:val="head2"/>
    <w:basedOn w:val="ListParagraph"/>
    <w:qFormat/>
    <w:rsid w:val="009A6EC3"/>
    <w:pPr>
      <w:keepNext/>
      <w:keepLines/>
      <w:spacing w:after="240" w:line="240" w:lineRule="auto"/>
      <w:ind w:left="0"/>
      <w:contextualSpacing w:val="0"/>
    </w:pPr>
    <w:rPr>
      <w:rFonts w:ascii="Times New Roman" w:hAnsi="Times New Roman" w:cs="Times New Roman"/>
      <w:b/>
    </w:rPr>
  </w:style>
  <w:style w:type="paragraph" w:customStyle="1" w:styleId="head3">
    <w:name w:val="head3"/>
    <w:basedOn w:val="head2"/>
    <w:link w:val="head3Char"/>
    <w:qFormat/>
    <w:rsid w:val="009A6EC3"/>
    <w:pPr>
      <w:numPr>
        <w:ilvl w:val="1"/>
      </w:numPr>
    </w:pPr>
    <w:rPr>
      <w:rFonts w:ascii="Times New Roman Bold" w:hAnsi="Times New Roman Bold"/>
      <w:smallCaps/>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9A6EC3"/>
    <w:rPr>
      <w:rFonts w:eastAsiaTheme="minorEastAsia"/>
    </w:rPr>
  </w:style>
  <w:style w:type="paragraph" w:customStyle="1" w:styleId="head4">
    <w:name w:val="head4"/>
    <w:basedOn w:val="head3"/>
    <w:link w:val="head4Char"/>
    <w:qFormat/>
    <w:rsid w:val="009A6EC3"/>
    <w:pPr>
      <w:numPr>
        <w:ilvl w:val="2"/>
      </w:numPr>
      <w:ind w:left="720"/>
    </w:pPr>
    <w:rPr>
      <w:smallCaps w:val="0"/>
    </w:rPr>
  </w:style>
  <w:style w:type="character" w:customStyle="1" w:styleId="head3Char">
    <w:name w:val="head3 Char"/>
    <w:basedOn w:val="DefaultParagraphFont"/>
    <w:link w:val="head3"/>
    <w:rsid w:val="009A6EC3"/>
    <w:rPr>
      <w:rFonts w:ascii="Times New Roman Bold" w:hAnsi="Times New Roman Bold" w:cs="Times New Roman"/>
      <w:b/>
      <w:smallCaps/>
    </w:rPr>
  </w:style>
  <w:style w:type="paragraph" w:customStyle="1" w:styleId="head5">
    <w:name w:val="head5"/>
    <w:basedOn w:val="head4"/>
    <w:link w:val="head5Char"/>
    <w:qFormat/>
    <w:rsid w:val="009A6EC3"/>
    <w:pPr>
      <w:numPr>
        <w:ilvl w:val="3"/>
      </w:numPr>
      <w:ind w:left="720"/>
    </w:pPr>
    <w:rPr>
      <w:i/>
    </w:rPr>
  </w:style>
  <w:style w:type="paragraph" w:styleId="BalloonText">
    <w:name w:val="Balloon Text"/>
    <w:basedOn w:val="Normal"/>
    <w:link w:val="BalloonTextChar"/>
    <w:uiPriority w:val="99"/>
    <w:semiHidden/>
    <w:unhideWhenUsed/>
    <w:rsid w:val="009A6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C3"/>
    <w:rPr>
      <w:rFonts w:ascii="Tahoma" w:eastAsiaTheme="minorEastAsia" w:hAnsi="Tahoma" w:cs="Tahoma"/>
      <w:sz w:val="16"/>
      <w:szCs w:val="16"/>
    </w:r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C0A46"/>
    <w:pPr>
      <w:spacing w:after="0" w:line="240" w:lineRule="auto"/>
    </w:pPr>
    <w:rPr>
      <w:sz w:val="20"/>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C0A46"/>
    <w:rPr>
      <w:sz w:val="20"/>
      <w:szCs w:val="20"/>
    </w:rPr>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BVIfnrCarCar"/>
    <w:unhideWhenUsed/>
    <w:qFormat/>
    <w:rsid w:val="00FC0A46"/>
    <w:rPr>
      <w:vertAlign w:val="superscript"/>
    </w:rPr>
  </w:style>
  <w:style w:type="paragraph" w:styleId="NormalWeb">
    <w:name w:val="Normal (Web)"/>
    <w:basedOn w:val="Normal"/>
    <w:uiPriority w:val="99"/>
    <w:unhideWhenUsed/>
    <w:rsid w:val="00C70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4Char">
    <w:name w:val="head4 Char"/>
    <w:basedOn w:val="head3Char"/>
    <w:link w:val="head4"/>
    <w:rsid w:val="00C70D1D"/>
    <w:rPr>
      <w:rFonts w:ascii="Times New Roman Bold" w:hAnsi="Times New Roman Bold" w:cs="Times New Roman"/>
      <w:b/>
      <w:smallCaps w:val="0"/>
    </w:rPr>
  </w:style>
  <w:style w:type="character" w:customStyle="1" w:styleId="head5Char">
    <w:name w:val="head5 Char"/>
    <w:basedOn w:val="head4Char"/>
    <w:link w:val="head5"/>
    <w:rsid w:val="00C70D1D"/>
    <w:rPr>
      <w:rFonts w:ascii="Times New Roman Bold" w:hAnsi="Times New Roman Bold" w:cs="Times New Roman"/>
      <w:b/>
      <w:i/>
      <w:smallCaps w:val="0"/>
    </w:rPr>
  </w:style>
  <w:style w:type="character" w:styleId="Hyperlink">
    <w:name w:val="Hyperlink"/>
    <w:basedOn w:val="DefaultParagraphFont"/>
    <w:uiPriority w:val="99"/>
    <w:unhideWhenUsed/>
    <w:rsid w:val="00C70D1D"/>
    <w:rPr>
      <w:color w:val="0000FF" w:themeColor="hyperlink"/>
      <w:u w:val="single"/>
    </w:rPr>
  </w:style>
  <w:style w:type="table" w:styleId="TableGrid">
    <w:name w:val="Table Grid"/>
    <w:basedOn w:val="TableNormal"/>
    <w:uiPriority w:val="39"/>
    <w:rsid w:val="007367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AnnexHeading">
    <w:name w:val="PDS Annex Heading"/>
    <w:next w:val="Normal"/>
    <w:uiPriority w:val="99"/>
    <w:rsid w:val="00487440"/>
    <w:pPr>
      <w:keepNext/>
      <w:spacing w:after="120" w:line="240" w:lineRule="auto"/>
      <w:jc w:val="center"/>
    </w:pPr>
    <w:rPr>
      <w:rFonts w:ascii="Times New Roman" w:eastAsia="SimSun" w:hAnsi="Times New Roman" w:cs="Times New Roman"/>
      <w:b/>
      <w:sz w:val="24"/>
      <w:szCs w:val="20"/>
    </w:rPr>
  </w:style>
  <w:style w:type="paragraph" w:styleId="CommentSubject">
    <w:name w:val="annotation subject"/>
    <w:basedOn w:val="CommentText"/>
    <w:next w:val="CommentText"/>
    <w:link w:val="CommentSubjectChar"/>
    <w:uiPriority w:val="99"/>
    <w:unhideWhenUsed/>
    <w:rsid w:val="00104FF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rsid w:val="00104FF1"/>
    <w:rPr>
      <w:rFonts w:ascii="Times New Roman" w:eastAsia="Times New Roman" w:hAnsi="Times New Roman" w:cs="Times New Roman"/>
      <w:b/>
      <w:bCs/>
      <w:sz w:val="20"/>
      <w:szCs w:val="20"/>
    </w:rPr>
  </w:style>
  <w:style w:type="paragraph" w:styleId="Header">
    <w:name w:val="header"/>
    <w:aliases w:val="Section Header"/>
    <w:basedOn w:val="Normal"/>
    <w:link w:val="HeaderChar"/>
    <w:uiPriority w:val="99"/>
    <w:unhideWhenUsed/>
    <w:rsid w:val="004E0AF3"/>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E0AF3"/>
  </w:style>
  <w:style w:type="paragraph" w:styleId="Footer">
    <w:name w:val="footer"/>
    <w:basedOn w:val="Normal"/>
    <w:link w:val="FooterChar"/>
    <w:uiPriority w:val="99"/>
    <w:unhideWhenUsed/>
    <w:rsid w:val="004E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F3"/>
  </w:style>
  <w:style w:type="character" w:customStyle="1" w:styleId="Heading1Char">
    <w:name w:val="Heading 1 Char"/>
    <w:basedOn w:val="DefaultParagraphFont"/>
    <w:link w:val="Heading1"/>
    <w:uiPriority w:val="9"/>
    <w:rsid w:val="00C402F3"/>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9D599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9D7C70"/>
    <w:rPr>
      <w:rFonts w:ascii="Times New Roman" w:eastAsiaTheme="majorEastAsia" w:hAnsi="Times New Roman" w:cstheme="majorBidi"/>
      <w:b/>
      <w:sz w:val="24"/>
      <w:szCs w:val="26"/>
    </w:rPr>
  </w:style>
  <w:style w:type="character" w:customStyle="1" w:styleId="DefaultChar">
    <w:name w:val="Default Char"/>
    <w:link w:val="Default"/>
    <w:locked/>
    <w:rsid w:val="0019181C"/>
    <w:rPr>
      <w:rFonts w:ascii="Arial" w:hAnsi="Arial" w:cs="Arial"/>
      <w:color w:val="000000"/>
      <w:sz w:val="24"/>
      <w:szCs w:val="24"/>
      <w:lang w:val="en-CA"/>
    </w:rPr>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Normal"/>
    <w:next w:val="Normal"/>
    <w:uiPriority w:val="99"/>
    <w:rsid w:val="0019181C"/>
    <w:pPr>
      <w:autoSpaceDE w:val="0"/>
      <w:autoSpaceDN w:val="0"/>
      <w:adjustRightInd w:val="0"/>
      <w:spacing w:after="0" w:line="181" w:lineRule="atLeast"/>
    </w:pPr>
    <w:rPr>
      <w:rFonts w:ascii="Arial" w:hAnsi="Arial" w:cs="Arial"/>
      <w:sz w:val="24"/>
      <w:szCs w:val="24"/>
    </w:rPr>
  </w:style>
  <w:style w:type="paragraph" w:styleId="Revision">
    <w:name w:val="Revision"/>
    <w:hidden/>
    <w:uiPriority w:val="99"/>
    <w:semiHidden/>
    <w:rsid w:val="0023647A"/>
    <w:pPr>
      <w:spacing w:after="0" w:line="240" w:lineRule="auto"/>
    </w:pPr>
  </w:style>
  <w:style w:type="character" w:customStyle="1" w:styleId="UnresolvedMention1">
    <w:name w:val="Unresolved Mention1"/>
    <w:basedOn w:val="DefaultParagraphFont"/>
    <w:uiPriority w:val="99"/>
    <w:semiHidden/>
    <w:unhideWhenUsed/>
    <w:rsid w:val="003652EF"/>
    <w:rPr>
      <w:color w:val="605E5C"/>
      <w:shd w:val="clear" w:color="auto" w:fill="E1DFDD"/>
    </w:rPr>
  </w:style>
  <w:style w:type="character" w:styleId="FollowedHyperlink">
    <w:name w:val="FollowedHyperlink"/>
    <w:basedOn w:val="DefaultParagraphFont"/>
    <w:uiPriority w:val="99"/>
    <w:semiHidden/>
    <w:unhideWhenUsed/>
    <w:rsid w:val="00163C3D"/>
    <w:rPr>
      <w:color w:val="800080" w:themeColor="followedHyperlink"/>
      <w:u w:val="single"/>
    </w:rPr>
  </w:style>
  <w:style w:type="character" w:customStyle="1" w:styleId="UnresolvedMention2">
    <w:name w:val="Unresolved Mention2"/>
    <w:basedOn w:val="DefaultParagraphFont"/>
    <w:uiPriority w:val="99"/>
    <w:semiHidden/>
    <w:unhideWhenUsed/>
    <w:rsid w:val="00C116F1"/>
    <w:rPr>
      <w:color w:val="605E5C"/>
      <w:shd w:val="clear" w:color="auto" w:fill="E1DFDD"/>
    </w:rPr>
  </w:style>
  <w:style w:type="character" w:customStyle="1" w:styleId="normaltextrun">
    <w:name w:val="normaltextrun"/>
    <w:basedOn w:val="DefaultParagraphFont"/>
    <w:rsid w:val="004670EC"/>
  </w:style>
  <w:style w:type="paragraph" w:customStyle="1" w:styleId="paragraph">
    <w:name w:val="paragraph"/>
    <w:basedOn w:val="Normal"/>
    <w:rsid w:val="004670E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A1080"/>
    <w:pPr>
      <w:spacing w:line="259" w:lineRule="auto"/>
      <w:outlineLvl w:val="9"/>
    </w:pPr>
  </w:style>
  <w:style w:type="paragraph" w:styleId="TOC2">
    <w:name w:val="toc 2"/>
    <w:basedOn w:val="Normal"/>
    <w:next w:val="Normal"/>
    <w:autoRedefine/>
    <w:uiPriority w:val="39"/>
    <w:unhideWhenUsed/>
    <w:rsid w:val="00FA1080"/>
    <w:pPr>
      <w:spacing w:after="100"/>
      <w:ind w:left="220"/>
    </w:pPr>
  </w:style>
  <w:style w:type="paragraph" w:styleId="TOC3">
    <w:name w:val="toc 3"/>
    <w:basedOn w:val="Normal"/>
    <w:next w:val="Normal"/>
    <w:autoRedefine/>
    <w:uiPriority w:val="39"/>
    <w:unhideWhenUsed/>
    <w:rsid w:val="00FA1080"/>
    <w:pPr>
      <w:spacing w:after="100"/>
      <w:ind w:left="440"/>
    </w:pPr>
  </w:style>
  <w:style w:type="paragraph" w:styleId="TOC1">
    <w:name w:val="toc 1"/>
    <w:basedOn w:val="Normal"/>
    <w:next w:val="Normal"/>
    <w:autoRedefine/>
    <w:uiPriority w:val="39"/>
    <w:unhideWhenUsed/>
    <w:rsid w:val="003B7B53"/>
    <w:pPr>
      <w:spacing w:after="100"/>
    </w:pPr>
  </w:style>
  <w:style w:type="numbering" w:customStyle="1" w:styleId="Style1">
    <w:name w:val="Style1"/>
    <w:uiPriority w:val="99"/>
    <w:rsid w:val="003467C7"/>
  </w:style>
  <w:style w:type="paragraph" w:customStyle="1" w:styleId="BVIfnrCarCar">
    <w:name w:val="BVI fnr Car Car"/>
    <w:aliases w:val="BVI fnr Car,BVI fnr Car Car Car Car,BVI fnr Car Car Car Car Char Car Char Char"/>
    <w:basedOn w:val="Normal"/>
    <w:link w:val="FootnoteReference"/>
    <w:autoRedefine/>
    <w:uiPriority w:val="99"/>
    <w:rsid w:val="0080760A"/>
    <w:pPr>
      <w:widowControl w:val="0"/>
      <w:autoSpaceDE w:val="0"/>
      <w:autoSpaceDN w:val="0"/>
      <w:adjustRightInd w:val="0"/>
      <w:spacing w:after="0" w:line="240" w:lineRule="auto"/>
      <w:jc w:val="both"/>
    </w:pPr>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0142CE"/>
    <w:pPr>
      <w:spacing w:after="160" w:line="240" w:lineRule="exact"/>
    </w:pPr>
    <w:rPr>
      <w:vertAlign w:val="superscript"/>
    </w:rPr>
  </w:style>
  <w:style w:type="paragraph" w:styleId="EndnoteText">
    <w:name w:val="endnote text"/>
    <w:basedOn w:val="Normal"/>
    <w:link w:val="EndnoteTextChar"/>
    <w:uiPriority w:val="99"/>
    <w:unhideWhenUsed/>
    <w:rsid w:val="00F42119"/>
    <w:pPr>
      <w:spacing w:after="0" w:line="240" w:lineRule="auto"/>
    </w:pPr>
    <w:rPr>
      <w:rFonts w:ascii="Times New Roman" w:eastAsiaTheme="minorHAnsi" w:hAnsi="Times New Roman" w:cs="Times New Roman"/>
      <w:sz w:val="24"/>
      <w:szCs w:val="24"/>
    </w:rPr>
  </w:style>
  <w:style w:type="character" w:customStyle="1" w:styleId="EndnoteTextChar">
    <w:name w:val="Endnote Text Char"/>
    <w:basedOn w:val="DefaultParagraphFont"/>
    <w:link w:val="EndnoteText"/>
    <w:uiPriority w:val="99"/>
    <w:rsid w:val="00F42119"/>
    <w:rPr>
      <w:rFonts w:ascii="Times New Roman" w:eastAsiaTheme="minorHAnsi" w:hAnsi="Times New Roman" w:cs="Times New Roman"/>
      <w:sz w:val="24"/>
      <w:szCs w:val="24"/>
    </w:rPr>
  </w:style>
  <w:style w:type="character" w:styleId="EndnoteReference">
    <w:name w:val="endnote reference"/>
    <w:basedOn w:val="DefaultParagraphFont"/>
    <w:uiPriority w:val="99"/>
    <w:unhideWhenUsed/>
    <w:rsid w:val="00F42119"/>
    <w:rPr>
      <w:vertAlign w:val="superscript"/>
    </w:rPr>
  </w:style>
  <w:style w:type="character" w:styleId="Strong">
    <w:name w:val="Strong"/>
    <w:basedOn w:val="DefaultParagraphFont"/>
    <w:uiPriority w:val="22"/>
    <w:qFormat/>
    <w:rsid w:val="006A2454"/>
    <w:rPr>
      <w:b/>
      <w:bCs/>
    </w:rPr>
  </w:style>
  <w:style w:type="paragraph" w:styleId="BodyText">
    <w:name w:val="Body Text"/>
    <w:basedOn w:val="Normal"/>
    <w:link w:val="BodyTextChar"/>
    <w:uiPriority w:val="1"/>
    <w:qFormat/>
    <w:rsid w:val="007A6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6C47"/>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E31B8"/>
    <w:rPr>
      <w:rFonts w:asciiTheme="majorHAnsi" w:eastAsiaTheme="majorEastAsia" w:hAnsiTheme="majorHAnsi" w:cstheme="majorBidi"/>
      <w:i/>
      <w:iCs/>
      <w:color w:val="365F91" w:themeColor="accent1" w:themeShade="BF"/>
    </w:rPr>
  </w:style>
  <w:style w:type="paragraph" w:customStyle="1" w:styleId="Bulletdot">
    <w:name w:val="Bullet dot"/>
    <w:basedOn w:val="ListParagraph"/>
    <w:qFormat/>
    <w:rsid w:val="00FA47EE"/>
    <w:pPr>
      <w:numPr>
        <w:numId w:val="72"/>
      </w:numPr>
      <w:spacing w:after="120"/>
      <w:contextualSpacing w:val="0"/>
    </w:pPr>
    <w:rPr>
      <w:rFonts w:eastAsiaTheme="minorHAnsi"/>
    </w:rPr>
  </w:style>
  <w:style w:type="paragraph" w:customStyle="1" w:styleId="ClauseSubPara">
    <w:name w:val="ClauseSub_Para"/>
    <w:rsid w:val="00FA47EE"/>
    <w:pPr>
      <w:spacing w:before="60" w:after="60" w:line="240" w:lineRule="auto"/>
      <w:ind w:left="2268" w:right="-14"/>
      <w:jc w:val="both"/>
    </w:pPr>
    <w:rPr>
      <w:rFonts w:ascii="Times New Roman" w:eastAsia="Times New Roman" w:hAnsi="Times New Roman" w:cs="Times New Roman"/>
      <w:lang w:val="en-GB"/>
    </w:rPr>
  </w:style>
  <w:style w:type="character" w:customStyle="1" w:styleId="UnresolvedMention">
    <w:name w:val="Unresolved Mention"/>
    <w:basedOn w:val="DefaultParagraphFont"/>
    <w:uiPriority w:val="99"/>
    <w:semiHidden/>
    <w:unhideWhenUsed/>
    <w:rsid w:val="005A4DC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apps.who.int/iris/bitstream/handle/10665/331509/WHO-COVID-19-lab_testing-2020.1-eng.pdf" TargetMode="External"/><Relationship Id="rId21" Type="http://schemas.openxmlformats.org/officeDocument/2006/relationships/image" Target="media/image1.png"/><Relationship Id="rId42" Type="http://schemas.openxmlformats.org/officeDocument/2006/relationships/hyperlink" Target="https://worldbankgroup.sharepoint.com/sites/wbunits/opcs/Knowledge%20Base/Labor%20Management%20Procedures%20COVID%20Template.docx" TargetMode="External"/><Relationship Id="rId47" Type="http://schemas.openxmlformats.org/officeDocument/2006/relationships/hyperlink" Target="https://apps.who.int/iris/bitstream/handle/10665/331538/WHO-COVID-19-lPC_DBMgmt-2020.1-eng.pdf" TargetMode="External"/><Relationship Id="rId63" Type="http://schemas.openxmlformats.org/officeDocument/2006/relationships/hyperlink" Target="https://apps.who.int/iris/bitstream/handle/10665/331492/WHO-2019-nCoV-HCF_operations-2020.1-eng.pdf" TargetMode="External"/><Relationship Id="rId68" Type="http://schemas.openxmlformats.org/officeDocument/2006/relationships/hyperlink" Target="https://www.who.int/publications-detail/recommendations-to-member-states-to-improve-hand-hygiene-practices-to-help-prevent-the-transmission-of-the-covid-19-virus" TargetMode="External"/><Relationship Id="rId84" Type="http://schemas.openxmlformats.org/officeDocument/2006/relationships/hyperlink" Target="https://www.who.int/docs/default-source/coronaviruse/getting-workplace-ready-for-covid-19.pdf" TargetMode="External"/><Relationship Id="rId89" Type="http://schemas.openxmlformats.org/officeDocument/2006/relationships/hyperlink" Target="https://worldbankgroup.sharepoint.com/sites/wbunits/opcs/Knowledge%20Base/Public%20Consultations%20in%20WB%20Operations.pdf" TargetMode="External"/><Relationship Id="rId7" Type="http://schemas.openxmlformats.org/officeDocument/2006/relationships/endnotes" Target="endnotes.xml"/><Relationship Id="rId71" Type="http://schemas.openxmlformats.org/officeDocument/2006/relationships/hyperlink" Target="https://www.who.int/publications-detail/laboratory-biosafety-guidance-related-to-coronavirus-disease-2019-(covid-19)" TargetMode="External"/><Relationship Id="rId92" Type="http://schemas.openxmlformats.org/officeDocument/2006/relationships/hyperlink" Target="https://worldbankgroup.sharepoint.com/sites/gsg/HealthySocieties/Documents/COVID-19/Technical%20Note%20on%20addressing%20SEAH%20in%20HNP%20COVID%20response%20operations.pdf" TargetMode="External"/><Relationship Id="rId2" Type="http://schemas.openxmlformats.org/officeDocument/2006/relationships/numbering" Target="numbering.xml"/><Relationship Id="rId16" Type="http://schemas.openxmlformats.org/officeDocument/2006/relationships/hyperlink" Target="https://en.wikipedia.org/wiki/Treaty" TargetMode="External"/><Relationship Id="rId29" Type="http://schemas.openxmlformats.org/officeDocument/2006/relationships/hyperlink" Target="https://www.who.int/csr/resources/publications/biosafety/Biosafety7.pdf?ua=1" TargetMode="External"/><Relationship Id="rId11" Type="http://schemas.openxmlformats.org/officeDocument/2006/relationships/footer" Target="footer2.xml"/><Relationship Id="rId24" Type="http://schemas.openxmlformats.org/officeDocument/2006/relationships/hyperlink" Target="https://www.ilo.org/sector/Resources/publications/WCMS_741655/lang--en/index.htm" TargetMode="External"/><Relationship Id="rId32" Type="http://schemas.openxmlformats.org/officeDocument/2006/relationships/hyperlink" Target="https://www.phmsa.dot.gov/sites/phmsa.dot.gov/files/docs/transporting-infectious-substances/6821/cat-waste-planning-guidance-final-2019-08.pdf" TargetMode="External"/><Relationship Id="rId37" Type="http://schemas.openxmlformats.org/officeDocument/2006/relationships/hyperlink" Target="about:blank" TargetMode="External"/><Relationship Id="rId40" Type="http://schemas.openxmlformats.org/officeDocument/2006/relationships/hyperlink" Target="https://www.who.int/emergencies/diseases/novel-coronavirus-2019/technical-guidance/infection-prevention-and-control" TargetMode="External"/><Relationship Id="rId45" Type="http://schemas.openxmlformats.org/officeDocument/2006/relationships/hyperlink" Target="https://www.who.int/publications-detail/recommendations-to-member-states-to-improve-hand-hygiene-practices-to-help-prevent-the-transmission-of-the-covid-19-virus" TargetMode="External"/><Relationship Id="rId53" Type="http://schemas.openxmlformats.org/officeDocument/2006/relationships/hyperlink" Target="https://www.who.int/emergencies/diseases/novel-coronavirus-2019/advice-for-public" TargetMode="External"/><Relationship Id="rId58" Type="http://schemas.openxmlformats.org/officeDocument/2006/relationships/hyperlink" Target="https://www.who.int/publications-detail/infection-prevention-and-control-during-health-care-when-novel-coronavirus-(ncov)-infection-is-suspected-20200125" TargetMode="External"/><Relationship Id="rId66" Type="http://schemas.openxmlformats.org/officeDocument/2006/relationships/hyperlink" Target="https://www.who.int/emergencies/diseases/novel-coronavirus-2019/advice-for-public" TargetMode="External"/><Relationship Id="rId74" Type="http://schemas.openxmlformats.org/officeDocument/2006/relationships/hyperlink" Target="https://apps.who.int/iris/bitstream/handle/10665/331509/WHO-COVID-19-lab_testing-2020.1-eng.pdf" TargetMode="External"/><Relationship Id="rId79" Type="http://schemas.openxmlformats.org/officeDocument/2006/relationships/hyperlink" Target="https://www.who.int/publications-detail/oxygen-sources-and-distribution-for-covid-19-treatment-centres" TargetMode="External"/><Relationship Id="rId87" Type="http://schemas.openxmlformats.org/officeDocument/2006/relationships/hyperlink" Target="https://www.who.int/publications-detail/advice-on-the-use-of-masks-in-the-community-during-home-care-and-in-healthcare-settings-in-the-context-of-the-novel-coronavirus-(2019-ncov)-outbreak" TargetMode="External"/><Relationship Id="rId102" Type="http://schemas.openxmlformats.org/officeDocument/2006/relationships/hyperlink" Target="https://assets.cdcgroup.com/wp-content/uploads/2020/03/23093424/COVID-19-CDC-ESG-Guidance.pdf" TargetMode="External"/><Relationship Id="rId5" Type="http://schemas.openxmlformats.org/officeDocument/2006/relationships/webSettings" Target="webSettings.xml"/><Relationship Id="rId61" Type="http://schemas.openxmlformats.org/officeDocument/2006/relationships/hyperlink" Target="https://www.who.int/water_sanitation_health/publications/wastemanag/en/" TargetMode="External"/><Relationship Id="rId82" Type="http://schemas.openxmlformats.org/officeDocument/2006/relationships/hyperlink" Target="https://apps.who.int/iris/bitstream/handle/10665/331492/WHO-2019-nCoV-HCF_operations-2020.1-eng.pdf" TargetMode="External"/><Relationship Id="rId90" Type="http://schemas.openxmlformats.org/officeDocument/2006/relationships/hyperlink" Target="https://worldbankgroup.sharepoint.com/sites/wbunits/opcs/Knowledge%20Base/Security%20Forces%20EandS%20issues%20in%20COVID%20projects.pdf" TargetMode="External"/><Relationship Id="rId95"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9" Type="http://schemas.openxmlformats.org/officeDocument/2006/relationships/hyperlink" Target="https://en.wikipedia.org/wiki/Less_Developed_Countries" TargetMode="External"/><Relationship Id="rId14" Type="http://schemas.openxmlformats.org/officeDocument/2006/relationships/comments" Target="comments.xml"/><Relationship Id="rId22" Type="http://schemas.openxmlformats.org/officeDocument/2006/relationships/hyperlink" Target="https://www.britannica.com/science/marine-west-coast-climate" TargetMode="External"/><Relationship Id="rId27" Type="http://schemas.openxmlformats.org/officeDocument/2006/relationships/hyperlink" Target="https://www.who.int/emergencies/diseases/novel-coronavirus-2019/technical-guidance/laboratory-guidance" TargetMode="External"/><Relationship Id="rId30" Type="http://schemas.openxmlformats.org/officeDocument/2006/relationships/hyperlink" Target="https://www.who.int/csr/resources/publications/biosafety/Biosafety7.pdf?ua=1" TargetMode="External"/><Relationship Id="rId35" Type="http://schemas.openxmlformats.org/officeDocument/2006/relationships/hyperlink" Target="https://www.who.int/news-room/articles-detail/key-considerations-for-repatriation-and-quarantine-of-travellers-in-relation-to-the-outbreak-of-novel-coronavirus-2019-ncov" TargetMode="External"/><Relationship Id="rId43" Type="http://schemas.openxmlformats.org/officeDocument/2006/relationships/header" Target="header4.xml"/><Relationship Id="rId48" Type="http://schemas.openxmlformats.org/officeDocument/2006/relationships/hyperlink" Target="https://www.who.int/publications-detail/practical-considerations-and-recommendations-for-religious-leaders-and-faith-based-communities-in-the-context-of-covid-19" TargetMode="External"/><Relationship Id="rId56" Type="http://schemas.openxmlformats.org/officeDocument/2006/relationships/hyperlink" Target="https://apps.who.int/iris/bitstream/handle/10665/331498/WHO-2019-nCoV-IPCPPE_use-2020.2-eng.pdf" TargetMode="External"/><Relationship Id="rId64" Type="http://schemas.openxmlformats.org/officeDocument/2006/relationships/hyperlink" Target="https://www.who.int/publications-detail/risk-communication-and-community-engagement-(rcce)-action-plan-guidance" TargetMode="External"/><Relationship Id="rId69" Type="http://schemas.openxmlformats.org/officeDocument/2006/relationships/hyperlink" Target="https://www.who.int/publications-detail/severe-acute-respiratory-infections-treatment-centre" TargetMode="External"/><Relationship Id="rId77" Type="http://schemas.openxmlformats.org/officeDocument/2006/relationships/hyperlink" Target="https://www.who.int/publications-detail/preparedness-prevention-and-control-of-coronavirus-disease-(covid-19)-for-refugees-and-migrants-in-non-camp-settings" TargetMode="External"/><Relationship Id="rId100" Type="http://schemas.openxmlformats.org/officeDocument/2006/relationships/hyperlink" Target="https://idbinvest.org/en/download/9625" TargetMode="Externa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hyperlink" Target="https://www.who.int/csr/resources/publications/biosafety/Biosafety7.pdf?ua=1" TargetMode="External"/><Relationship Id="rId80" Type="http://schemas.openxmlformats.org/officeDocument/2006/relationships/hyperlink" Target="https://www.who.int/publications-detail/risk-communication-and-community-engagement-(rcce)-action-plan-guidance" TargetMode="External"/><Relationship Id="rId85" Type="http://schemas.openxmlformats.org/officeDocument/2006/relationships/hyperlink" Target="https://www.who.int/publications-detail/water-sanitation-hygiene-and-waste-management-for-covid-19" TargetMode="External"/><Relationship Id="rId93" Type="http://schemas.openxmlformats.org/officeDocument/2006/relationships/hyperlink" Target="https://www.ifc.org/wps/wcm/connect/topics_ext_content/ifc_external_corporate_site/sustainability-at-ifc/publications/publications_tipsheet_covid-19-ohs" TargetMode="External"/><Relationship Id="rId98" Type="http://schemas.openxmlformats.org/officeDocument/2006/relationships/hyperlink" Target="https://www.adb.org/publications/managing-medical-waste-covid1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n.wikipedia.org/wiki/Hazardous_waste" TargetMode="External"/><Relationship Id="rId25" Type="http://schemas.openxmlformats.org/officeDocument/2006/relationships/hyperlink" Target="https://worldbankgroup.sharepoint.com/sites/wbunits/opcs/Knowledge%20Base/ESF%20Safeguards%20Interim%20Note%20Construction%20Civil%20Works%20COVID.pdf" TargetMode="External"/><Relationship Id="rId33" Type="http://schemas.openxmlformats.org/officeDocument/2006/relationships/hyperlink" Target="https://www.phmsa.dot.gov/sites/phmsa.dot.gov/files/docs/transporting-infectious-substances/6821/cat-waste-planning-guidance-final-2019-08.pdf" TargetMode="External"/><Relationship Id="rId38" Type="http://schemas.openxmlformats.org/officeDocument/2006/relationships/hyperlink" Target="about:blank" TargetMode="External"/><Relationship Id="rId46" Type="http://schemas.openxmlformats.org/officeDocument/2006/relationships/hyperlink" Target="https://apps.who.int/iris/bitstream/handle/10665/331538/WHO-COVID-19-lPC_DBMgmt-2020.1-eng.pdf" TargetMode="External"/><Relationship Id="rId59" Type="http://schemas.openxmlformats.org/officeDocument/2006/relationships/hyperlink" Target="https://apps.who.int/iris/bitstream/handle/10665/331498/WHO-2019-nCoV-IPCPPE_use-2020.2-eng.pdf" TargetMode="External"/><Relationship Id="rId67" Type="http://schemas.openxmlformats.org/officeDocument/2006/relationships/hyperlink" Target="https://www.who.int/publications-detail/infection-prevention-and-control-during-health-care-when-novel-coronavirus-(ncov)-infection-is-suspected-20200125" TargetMode="External"/><Relationship Id="rId103" Type="http://schemas.openxmlformats.org/officeDocument/2006/relationships/fontTable" Target="fontTable.xml"/><Relationship Id="rId20" Type="http://schemas.openxmlformats.org/officeDocument/2006/relationships/hyperlink" Target="https://en.wikipedia.org/wiki/Toxicity" TargetMode="External"/><Relationship Id="rId41" Type="http://schemas.openxmlformats.org/officeDocument/2006/relationships/hyperlink" Target="https://www.ifc.org/wps/wcm/connect/960ef524-1fa5-4696-8db3-82c60edf5367/Final%2B-%2BHealth%2BCare%2BFacilities.pdf?MOD=AJPERES&amp;CVID=jqeCW2Q&amp;id=1323161961169" TargetMode="External"/><Relationship Id="rId54" Type="http://schemas.openxmlformats.org/officeDocument/2006/relationships/hyperlink" Target="https://www.ifc.org/wps/wcm/connect/60593977-91c6-4140-84d3-737d0e203475/workers_accomodation.pdf?MOD=AJPERES&amp;CACHEID=ROOTWORKSPACE-60593977-91c6-4140-84d3-737d0e203475-jqetNIh" TargetMode="External"/><Relationship Id="rId62" Type="http://schemas.openxmlformats.org/officeDocument/2006/relationships/hyperlink" Target="https://www.who.int/publications-detail/infection-prevention-and-control-during-health-care-when-novel-coronavirus-(ncov)-infection-is-suspected-20200125" TargetMode="External"/><Relationship Id="rId70" Type="http://schemas.openxmlformats.org/officeDocument/2006/relationships/hyperlink" Target="https://www.who.int/infection-prevention/tools/core-components/facility-manual.pdf" TargetMode="External"/><Relationship Id="rId75" Type="http://schemas.openxmlformats.org/officeDocument/2006/relationships/hyperlink" Target="https://apps.who.int/iris/bitstream/handle/10665/331538/WHO-COVID-19-lPC_DBMgmt-2020.1-eng.pdf" TargetMode="External"/><Relationship Id="rId83" Type="http://schemas.openxmlformats.org/officeDocument/2006/relationships/hyperlink" Target="https://apps.who.int/iris/bitstream/handle/10665/331215/WHO-2019-nCov-IPCPPE_use-2020.1-eng.pdf" TargetMode="External"/><Relationship Id="rId88" Type="http://schemas.openxmlformats.org/officeDocument/2006/relationships/hyperlink" Target="https://www.who.int/who-documents-detail/disability-considerations-during-the-covid-19-outbreak" TargetMode="External"/><Relationship Id="rId91" Type="http://schemas.openxmlformats.org/officeDocument/2006/relationships/hyperlink" Target="https://worldbankgroup.sharepoint.com/sites/wbunits/opcs/Knowledge%20Base/ESF%20Safeguards%20Interim%20Note%20Construction%20Civil%20Works%20COVID.pdf" TargetMode="External"/><Relationship Id="rId96" Type="http://schemas.openxmlformats.org/officeDocument/2006/relationships/hyperlink" Target="https://www.ifc.org/wps/wcm/connect/960ef524-1fa5-4696-8db3-82c60edf5367/Final%2B-%2BHealth%2BCare%2BFacilities.pdf?MOD=AJPERES&amp;CVID=jqeCW2Q&amp;id=13231619611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www.who.int/medical_devices/priority/COVID_19_PPE/en/" TargetMode="External"/><Relationship Id="rId28" Type="http://schemas.openxmlformats.org/officeDocument/2006/relationships/hyperlink" Target="https://www.who.int/csr/resources/publications/biosafety/Biosafety7.pdf?ua=1" TargetMode="External"/><Relationship Id="rId36" Type="http://schemas.openxmlformats.org/officeDocument/2006/relationships/hyperlink" Target="about:blank" TargetMode="External"/><Relationship Id="rId49" Type="http://schemas.openxmlformats.org/officeDocument/2006/relationships/hyperlink" Target="http://www.ifc.org/ehsguidelines" TargetMode="External"/><Relationship Id="rId57" Type="http://schemas.openxmlformats.org/officeDocument/2006/relationships/hyperlink" Target="https://www.who.int/publications-detail/considerations-for-quarantine-of-individuals-in-the-context-of-containment-for-coronavirus-disease-(covid-19)" TargetMode="External"/><Relationship Id="rId10" Type="http://schemas.openxmlformats.org/officeDocument/2006/relationships/footer" Target="footer1.xml"/><Relationship Id="rId31" Type="http://schemas.openxmlformats.org/officeDocument/2006/relationships/hyperlink" Target="https://www.phmsa.dot.gov/sites/phmsa.dot.gov/files/docs/transporting-infectious-substances/6821/cat-waste-planning-guidance-final-2019-08.pdf" TargetMode="External"/><Relationship Id="rId44" Type="http://schemas.openxmlformats.org/officeDocument/2006/relationships/hyperlink" Target="https://www.who.int/publications-detail/severe-acute-respiratory-infections-treatment-centre" TargetMode="External"/><Relationship Id="rId52" Type="http://schemas.openxmlformats.org/officeDocument/2006/relationships/header" Target="header7.xml"/><Relationship Id="rId60" Type="http://schemas.openxmlformats.org/officeDocument/2006/relationships/hyperlink" Target="https://www.who.int/publications-detail/water-sanitation-hygiene-and-waste-management-for-covid-19" TargetMode="External"/><Relationship Id="rId65" Type="http://schemas.openxmlformats.org/officeDocument/2006/relationships/hyperlink" Target="http://covidoperations/" TargetMode="External"/><Relationship Id="rId73" Type="http://schemas.openxmlformats.org/officeDocument/2006/relationships/hyperlink" Target="https://www.who.int/publications-detail/laboratory-testing-for-2019-novel-coronavirus-in-suspected-human-cases-20200117" TargetMode="External"/><Relationship Id="rId78"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81" Type="http://schemas.openxmlformats.org/officeDocument/2006/relationships/hyperlink" Target="https://www.who.int/publications-detail/considerations-for-quarantine-of-individuals-in-the-context-of-containment-for-coronavirus-disease-(covid-19)" TargetMode="External"/><Relationship Id="rId86" Type="http://schemas.openxmlformats.org/officeDocument/2006/relationships/hyperlink" Target="https://apps.who.int/iris/bitstream/handle/10665/85349/9789241548564_eng.pdf?sequence=1" TargetMode="External"/><Relationship Id="rId94" Type="http://schemas.openxmlformats.org/officeDocument/2006/relationships/hyperlink" Target="https://www.ifc.org/wps/wcm/connect/topics_ext_content/ifc_external_corporate_site/sustainability-at-ifc/publications/publications_tipsheet_covid-19_supportingworkers" TargetMode="External"/><Relationship Id="rId99" Type="http://schemas.openxmlformats.org/officeDocument/2006/relationships/hyperlink" Target="https://idbinvest.org/en/download/9625" TargetMode="External"/><Relationship Id="rId101" Type="http://schemas.openxmlformats.org/officeDocument/2006/relationships/hyperlink" Target="https://www.deginvest.de/Unsere-L%C3%B6sungen/COVID-19-DEG-information-for-customers-and-business-partner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en.wikipedia.org/wiki/Developed_countries" TargetMode="External"/><Relationship Id="rId39" Type="http://schemas.openxmlformats.org/officeDocument/2006/relationships/hyperlink" Target="https://www.who.int/publications-detail/severe-acute-respiratory-infections-treatment-centre" TargetMode="External"/><Relationship Id="rId34" Type="http://schemas.openxmlformats.org/officeDocument/2006/relationships/hyperlink" Target="https://www.who.int/publications-detail/considerations-for-quarantine-of-individuals-in-the-context-of-containment-for-coronavirus-disease-(covid-19)" TargetMode="External"/><Relationship Id="rId50" Type="http://schemas.openxmlformats.org/officeDocument/2006/relationships/header" Target="header5.xml"/><Relationship Id="rId55" Type="http://schemas.openxmlformats.org/officeDocument/2006/relationships/hyperlink" Target="https://www.who.int/publications-detail/water-sanitation-hygiene-and-waste-management-for-covid-19" TargetMode="External"/><Relationship Id="rId76" Type="http://schemas.openxmlformats.org/officeDocument/2006/relationships/hyperlink" Target="https://www.who.int/news-room/articles-detail/key-considerations-for-repatriation-and-quarantine-of-travellers-in-relation-to-the-outbreak-of-novel-coronavirus-2019-ncov" TargetMode="External"/><Relationship Id="rId97" Type="http://schemas.openxmlformats.org/officeDocument/2006/relationships/hyperlink" Target="https://www.ilo.org/wcmsp5/groups/public/---ed_norm/---normes/documents/publication/wcms_739937.pdf" TargetMode="External"/><Relationship Id="rId104"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matsne.gov.ge/ka/document/download/2676416/1/en/pdf" TargetMode="External"/><Relationship Id="rId13" Type="http://schemas.openxmlformats.org/officeDocument/2006/relationships/hyperlink" Target="http://documents.worldbank.org/curated/en/157871484635724258/Environmental-health-and-safety-general-guidelines" TargetMode="External"/><Relationship Id="rId18" Type="http://schemas.openxmlformats.org/officeDocument/2006/relationships/hyperlink" Target="https://www.who.int/infection-prevention/publications/en/" TargetMode="External"/><Relationship Id="rId26" Type="http://schemas.openxmlformats.org/officeDocument/2006/relationships/hyperlink" Target="https://eur-lex.europa.eu/legal-content/EN/ALL/?uri=CELEX:31999L0031" TargetMode="External"/><Relationship Id="rId3" Type="http://schemas.openxmlformats.org/officeDocument/2006/relationships/hyperlink" Target="https://mod.gov.ge/en/news/read/7805/defense-minister-viewed-special-checkpoints-set-up-by-defense-forces-in-marneuli" TargetMode="External"/><Relationship Id="rId21" Type="http://schemas.openxmlformats.org/officeDocument/2006/relationships/hyperlink" Target="http://www.eiec.gov.ge/NavMenu/Library.aspx" TargetMode="External"/><Relationship Id="rId34" Type="http://schemas.openxmlformats.org/officeDocument/2006/relationships/hyperlink" Target="https://apps.who.int/iris/bitstream/handle/10665/331538/WHO-COVID-19-lPC_DBMgmt-2020.1-eng.pdf" TargetMode="External"/><Relationship Id="rId7" Type="http://schemas.openxmlformats.org/officeDocument/2006/relationships/hyperlink" Target="https://www.matsne.gov.ge/ka/document/download/33340/19/en/pdf" TargetMode="External"/><Relationship Id="rId12" Type="http://schemas.openxmlformats.org/officeDocument/2006/relationships/hyperlink" Target="https://matsne.gov.ge/en/document/download/16210/11/en/pdf" TargetMode="External"/><Relationship Id="rId17" Type="http://schemas.openxmlformats.org/officeDocument/2006/relationships/hyperlink" Target="https://apps.who.int/iris/bitstream/handle/10665/85349/9789241548564_eng.pdf?sequence=1" TargetMode="External"/><Relationship Id="rId25" Type="http://schemas.openxmlformats.org/officeDocument/2006/relationships/hyperlink" Target="http://waste.gov.ge/ka/?page_id=1883&amp;lang=en" TargetMode="External"/><Relationship Id="rId33" Type="http://schemas.openxmlformats.org/officeDocument/2006/relationships/hyperlink" Target="https://openknowledge.worldbank.org/handle/10986/29108" TargetMode="External"/><Relationship Id="rId2" Type="http://schemas.openxmlformats.org/officeDocument/2006/relationships/hyperlink" Target="http://documents1.worldbank.org/curated/en/450751468184738008/pdf/105090-BR-AC2016-0014-CODE2016-0017-Box394888B-PUBLIC-disclosed-4-27-16.pdf" TargetMode="External"/><Relationship Id="rId16" Type="http://schemas.openxmlformats.org/officeDocument/2006/relationships/hyperlink" Target="https://www.who.int/emergencies/diseases/novel-coronavirus-2019%20(accessed%20on%20June%2028" TargetMode="External"/><Relationship Id="rId20" Type="http://schemas.openxmlformats.org/officeDocument/2006/relationships/hyperlink" Target="https://www.who.int/publications/i/item/rational-use-of-personal-protective-equipment-for-coronavirus-disease-(covid-19)-and-considerations-during-severe-shortages" TargetMode="External"/><Relationship Id="rId29" Type="http://schemas.openxmlformats.org/officeDocument/2006/relationships/hyperlink" Target="https://www.geostat.ge/en/modules/categories/41/population"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eur-lex.europa.eu/legal-content/EN/TXT/?uri=CELEX:32014L0052" TargetMode="External"/><Relationship Id="rId11" Type="http://schemas.openxmlformats.org/officeDocument/2006/relationships/hyperlink" Target="https://mepa.gov.ge/Ge/Files/ViewFile/1609" TargetMode="External"/><Relationship Id="rId24" Type="http://schemas.openxmlformats.org/officeDocument/2006/relationships/hyperlink" Target="https://www.oecd.org/countries/georgia/36472918.pdf" TargetMode="External"/><Relationship Id="rId32" Type="http://schemas.openxmlformats.org/officeDocument/2006/relationships/hyperlink" Target="http://www.parliament.ge/ge/ajax/downloadFile/81366/Health_Strategy_Eng" TargetMode="External"/><Relationship Id="rId5" Type="http://schemas.openxmlformats.org/officeDocument/2006/relationships/hyperlink" Target="https://matsne.gov.ge/en/document/download/3691981/1/en/pdf" TargetMode="External"/><Relationship Id="rId15" Type="http://schemas.openxmlformats.org/officeDocument/2006/relationships/hyperlink" Target="https://www.who.int/emergencies/diseases/novel-coronavirus-2019%20(accessed%20on%20June%2028" TargetMode="External"/><Relationship Id="rId23" Type="http://schemas.openxmlformats.org/officeDocument/2006/relationships/hyperlink" Target="https://www.avkvalves.com/en/cases/sustainability-cases-placeholder/efficient-water-supply-management-in-georgia" TargetMode="External"/><Relationship Id="rId28" Type="http://schemas.openxmlformats.org/officeDocument/2006/relationships/hyperlink" Target="https://eur-lex.europa.eu/legal-content/EN/TXT/?uri=CELEX%3A32000L0076" TargetMode="External"/><Relationship Id="rId10" Type="http://schemas.openxmlformats.org/officeDocument/2006/relationships/hyperlink" Target="https://matsne.gov.ge/ka/document/view/93874?publication=7" TargetMode="External"/><Relationship Id="rId19" Type="http://schemas.openxmlformats.org/officeDocument/2006/relationships/hyperlink" Target="https://www.who.int/medical_devices/priority/COVID_19_PPE/en/" TargetMode="External"/><Relationship Id="rId31" Type="http://schemas.openxmlformats.org/officeDocument/2006/relationships/hyperlink" Target="https://www.geostat.ge/en/modules/categories/22/national-accounts" TargetMode="External"/><Relationship Id="rId4" Type="http://schemas.openxmlformats.org/officeDocument/2006/relationships/hyperlink" Target="https://matsne.gov.ge/en/document/download/16270/18/en/pdf" TargetMode="External"/><Relationship Id="rId9" Type="http://schemas.openxmlformats.org/officeDocument/2006/relationships/hyperlink" Target="https://matsne.gov.ge/ru/document/download/33448/19/en/pdf" TargetMode="External"/><Relationship Id="rId14" Type="http://schemas.openxmlformats.org/officeDocument/2006/relationships/hyperlink" Target="https://www.ifc.org/wps/wcm/connect/960ef524-1fa5-4696-8db3-82c60edf5367/Final%2B-%2BHealth%2BCare%2BFacilities.pdf?MOD=AJPERES&amp;CVID=jqeCW2Q&amp;id=1323161961169" TargetMode="External"/><Relationship Id="rId22" Type="http://schemas.openxmlformats.org/officeDocument/2006/relationships/hyperlink" Target="http://eiec.gov.ge/getattachment/NavMenu/Documents/National-Reports/2007-2009-National-Report-of-the-State-of-the-Environment-of-Georgia.pdf.aspx" TargetMode="External"/><Relationship Id="rId27" Type="http://schemas.openxmlformats.org/officeDocument/2006/relationships/hyperlink" Target="https://matsne.gov.ge/ka/document/view/3242506?publication=0" TargetMode="External"/><Relationship Id="rId30" Type="http://schemas.openxmlformats.org/officeDocument/2006/relationships/hyperlink" Target="https://www.worldbank.org/en/country/georgia/overview" TargetMode="External"/><Relationship Id="rId35" Type="http://schemas.openxmlformats.org/officeDocument/2006/relationships/hyperlink" Target="https://apps.who.int/iris/bitstream/handle/10665/331695/WHO-2019-nCov-IPC_PPE_use-2020.3-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x0i+WrnJicCVHENSd2N9Cn0fBw==">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101</Pages>
  <Words>38320</Words>
  <Characters>218425</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Patarashvili</dc:creator>
  <cp:lastModifiedBy>Nino Patarashvili</cp:lastModifiedBy>
  <cp:revision>4</cp:revision>
  <cp:lastPrinted>2020-07-20T09:53:00Z</cp:lastPrinted>
  <dcterms:created xsi:type="dcterms:W3CDTF">2020-07-17T14:45:00Z</dcterms:created>
  <dcterms:modified xsi:type="dcterms:W3CDTF">2020-07-20T09:53:00Z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